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A57480" w14:textId="77777777" w:rsidR="000D29AB" w:rsidRDefault="00000000">
      <w:pPr>
        <w:pStyle w:val="Title"/>
        <w:spacing w:before="120" w:after="120" w:line="259" w:lineRule="auto"/>
        <w:rPr>
          <w:rFonts w:ascii="Calibri" w:eastAsia="Calibri" w:hAnsi="Calibri" w:cs="Calibri"/>
          <w:b/>
          <w:bCs/>
          <w:sz w:val="40"/>
          <w:szCs w:val="40"/>
        </w:rPr>
      </w:pPr>
      <w:bookmarkStart w:id="0" w:name="_s6dqy4qv4c7p" w:colFirst="0" w:colLast="0"/>
      <w:bookmarkEnd w:id="0"/>
      <w:r>
        <w:rPr>
          <w:rFonts w:ascii="Calibri" w:eastAsia="Calibri" w:hAnsi="Calibri" w:cs="Calibri"/>
          <w:b/>
          <w:bCs/>
          <w:sz w:val="40"/>
          <w:szCs w:val="40"/>
        </w:rPr>
        <w:t>OMF’s ODD protocol: a standard for model descriptions</w:t>
      </w:r>
    </w:p>
    <w:p w14:paraId="7B72FFC1" w14:textId="77777777" w:rsidR="000D29AB" w:rsidRDefault="00000000">
      <w:r>
        <w:rPr>
          <w:noProof/>
        </w:rPr>
        <w:drawing>
          <wp:inline distT="114300" distB="114300" distL="114300" distR="114300" wp14:anchorId="2C279DF7" wp14:editId="06E3C83A">
            <wp:extent cx="1690688" cy="574400"/>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6"/>
                    <a:srcRect/>
                    <a:stretch>
                      <a:fillRect/>
                    </a:stretch>
                  </pic:blipFill>
                  <pic:spPr>
                    <a:xfrm>
                      <a:off x="0" y="0"/>
                      <a:ext cx="1690688" cy="574400"/>
                    </a:xfrm>
                    <a:prstGeom prst="rect">
                      <a:avLst/>
                    </a:prstGeom>
                    <a:ln/>
                  </pic:spPr>
                </pic:pic>
              </a:graphicData>
            </a:graphic>
          </wp:inline>
        </w:drawing>
      </w:r>
    </w:p>
    <w:p w14:paraId="05CA843B" w14:textId="77777777" w:rsidR="000D29AB" w:rsidRDefault="00000000">
      <w:pPr>
        <w:pStyle w:val="Heading1"/>
        <w:spacing w:before="40"/>
      </w:pPr>
      <w:bookmarkStart w:id="1" w:name="_ql2q4kkofxb7" w:colFirst="0" w:colLast="0"/>
      <w:bookmarkEnd w:id="1"/>
      <w:r>
        <w:t>Overview</w:t>
      </w:r>
    </w:p>
    <w:p w14:paraId="453F7B50" w14:textId="77777777" w:rsidR="000D29AB" w:rsidRDefault="00000000">
      <w:pPr>
        <w:rPr>
          <w:u w:val="single"/>
        </w:rPr>
      </w:pPr>
      <w:r>
        <w:rPr>
          <w:u w:val="single"/>
        </w:rPr>
        <w:t>Goals and intent of the standard</w:t>
      </w:r>
    </w:p>
    <w:p w14:paraId="2F6A8886" w14:textId="77777777" w:rsidR="000D29AB" w:rsidRDefault="00000000">
      <w:pPr>
        <w:keepNext/>
        <w:spacing w:after="160" w:line="259" w:lineRule="auto"/>
        <w:jc w:val="both"/>
      </w:pPr>
      <w:r>
        <w:rPr>
          <w:rFonts w:ascii="Calibri" w:eastAsia="Calibri" w:hAnsi="Calibri" w:cs="Calibri"/>
          <w:b/>
          <w:bCs/>
        </w:rPr>
        <w:t>OMF’s ODD protocol is a standard format for describing models</w:t>
      </w:r>
      <w:r>
        <w:rPr>
          <w:rFonts w:ascii="Calibri" w:eastAsia="Calibri" w:hAnsi="Calibri" w:cs="Calibri"/>
        </w:rPr>
        <w:t xml:space="preserve">. By introducing a common document structure and terminology, it provides a general language, or lingua franca, for </w:t>
      </w:r>
      <w:proofErr w:type="spellStart"/>
      <w:r>
        <w:rPr>
          <w:rFonts w:ascii="Calibri" w:eastAsia="Calibri" w:hAnsi="Calibri" w:cs="Calibri"/>
        </w:rPr>
        <w:t>modellers</w:t>
      </w:r>
      <w:proofErr w:type="spellEnd"/>
      <w:r>
        <w:rPr>
          <w:rFonts w:ascii="Calibri" w:eastAsia="Calibri" w:hAnsi="Calibri" w:cs="Calibri"/>
        </w:rPr>
        <w:t xml:space="preserve"> from all domains and for model clients and users. </w:t>
      </w:r>
    </w:p>
    <w:p w14:paraId="25045C11" w14:textId="77777777" w:rsidR="000D29AB" w:rsidRDefault="00000000">
      <w:pPr>
        <w:rPr>
          <w:u w:val="single"/>
        </w:rPr>
      </w:pPr>
      <w:r>
        <w:rPr>
          <w:u w:val="single"/>
        </w:rPr>
        <w:t>Executive summary</w:t>
      </w:r>
    </w:p>
    <w:p w14:paraId="334CB46B" w14:textId="77777777" w:rsidR="000D29AB" w:rsidRDefault="00000000">
      <w:pPr>
        <w:keepNext/>
        <w:spacing w:after="160" w:line="259" w:lineRule="auto"/>
        <w:rPr>
          <w:rFonts w:ascii="Calibri" w:eastAsia="Calibri" w:hAnsi="Calibri" w:cs="Calibri"/>
        </w:rPr>
      </w:pPr>
      <w:r>
        <w:rPr>
          <w:rFonts w:ascii="Calibri" w:eastAsia="Calibri" w:hAnsi="Calibri" w:cs="Calibri"/>
          <w:b/>
          <w:bCs/>
        </w:rPr>
        <w:t>OMF’s ODD protocol is a standard for documenting models that are dynamic and mechanistic in the widest sense</w:t>
      </w:r>
      <w:r>
        <w:rPr>
          <w:rFonts w:ascii="Calibri" w:eastAsia="Calibri" w:hAnsi="Calibri" w:cs="Calibri"/>
        </w:rPr>
        <w:t xml:space="preserve">. Its three purposes are: (1) provide a general non-technical language for communicating a model’s overall idea, purpose, and structure; (2) provide an overview of the rationale underlying the model’s design; (3) provide the details that are needed to fully understand and replicate the model. ODD is a tiered standard, where one or all three purposes are covered. </w:t>
      </w:r>
    </w:p>
    <w:p w14:paraId="20B24836" w14:textId="77777777" w:rsidR="000D29AB" w:rsidRDefault="00000000">
      <w:pPr>
        <w:rPr>
          <w:u w:val="single"/>
        </w:rPr>
      </w:pPr>
      <w:r>
        <w:rPr>
          <w:u w:val="single"/>
        </w:rPr>
        <w:t>History and background</w:t>
      </w:r>
    </w:p>
    <w:p w14:paraId="2196C025" w14:textId="77777777" w:rsidR="00CD09F0" w:rsidRDefault="00000000" w:rsidP="00CD09F0">
      <w:pPr>
        <w:spacing w:line="259" w:lineRule="auto"/>
        <w:rPr>
          <w:rFonts w:ascii="Calibri" w:eastAsia="Calibri" w:hAnsi="Calibri" w:cs="Calibri"/>
        </w:rPr>
      </w:pPr>
      <w:r>
        <w:rPr>
          <w:rFonts w:ascii="Calibri" w:eastAsia="Calibri" w:hAnsi="Calibri" w:cs="Calibri"/>
          <w:b/>
          <w:bCs/>
        </w:rPr>
        <w:t xml:space="preserve">The ODD protocol </w:t>
      </w:r>
      <w:r>
        <w:rPr>
          <w:rFonts w:ascii="Calibri" w:eastAsia="Calibri" w:hAnsi="Calibri" w:cs="Calibri"/>
        </w:rPr>
        <w:t xml:space="preserve">was originally developed for describing agent-based models (ABMs, Grimm et al. 2006). It has been used for more than 4000 ABMs and </w:t>
      </w:r>
      <w:r>
        <w:rPr>
          <w:rFonts w:ascii="Calibri" w:eastAsia="Calibri" w:hAnsi="Calibri" w:cs="Calibri"/>
          <w:b/>
          <w:bCs/>
        </w:rPr>
        <w:t>is one of the most widely used modelling standards</w:t>
      </w:r>
      <w:r>
        <w:rPr>
          <w:rFonts w:ascii="Calibri" w:eastAsia="Calibri" w:hAnsi="Calibri" w:cs="Calibri"/>
        </w:rPr>
        <w:t xml:space="preserve">. The rationale of ODD has been used for other model types, for comparing models, and as a </w:t>
      </w:r>
      <w:proofErr w:type="gramStart"/>
      <w:r>
        <w:rPr>
          <w:rFonts w:ascii="Calibri" w:eastAsia="Calibri" w:hAnsi="Calibri" w:cs="Calibri"/>
        </w:rPr>
        <w:t>checklist  for</w:t>
      </w:r>
      <w:proofErr w:type="gramEnd"/>
      <w:r>
        <w:rPr>
          <w:rFonts w:ascii="Calibri" w:eastAsia="Calibri" w:hAnsi="Calibri" w:cs="Calibri"/>
        </w:rPr>
        <w:t xml:space="preserve"> supporting collaborative model development (Grimm et al. 2027)</w:t>
      </w:r>
      <w:r>
        <w:rPr>
          <w:rFonts w:ascii="Calibri" w:eastAsia="Calibri" w:hAnsi="Calibri" w:cs="Calibri"/>
          <w:vertAlign w:val="superscript"/>
        </w:rPr>
        <w:footnoteReference w:id="1"/>
      </w:r>
      <w:r>
        <w:rPr>
          <w:rFonts w:ascii="Calibri" w:eastAsia="Calibri" w:hAnsi="Calibri" w:cs="Calibri"/>
        </w:rPr>
        <w:t>.</w:t>
      </w:r>
      <w:bookmarkStart w:id="2" w:name="_5rrtfhtir7zs" w:colFirst="0" w:colLast="0"/>
      <w:bookmarkEnd w:id="2"/>
    </w:p>
    <w:p w14:paraId="7793136D" w14:textId="77777777" w:rsidR="00CD09F0" w:rsidRPr="00CD09F0" w:rsidRDefault="00CD09F0" w:rsidP="00CD09F0">
      <w:pPr>
        <w:spacing w:line="259" w:lineRule="auto"/>
        <w:rPr>
          <w:rFonts w:ascii="Calibri" w:eastAsia="Calibri" w:hAnsi="Calibri" w:cs="Calibri"/>
          <w:sz w:val="16"/>
          <w:szCs w:val="16"/>
        </w:rPr>
      </w:pPr>
    </w:p>
    <w:p w14:paraId="0D4CB597" w14:textId="2F5610C0" w:rsidR="000D29AB" w:rsidRPr="00CD09F0" w:rsidRDefault="00000000" w:rsidP="00CD09F0">
      <w:pPr>
        <w:spacing w:line="259" w:lineRule="auto"/>
        <w:rPr>
          <w:u w:val="single"/>
        </w:rPr>
      </w:pPr>
      <w:r w:rsidRPr="00CD09F0">
        <w:rPr>
          <w:u w:val="single"/>
        </w:rPr>
        <w:t>Administrative</w:t>
      </w:r>
    </w:p>
    <w:p w14:paraId="52DF1149" w14:textId="77777777" w:rsidR="000D29AB" w:rsidRDefault="00000000">
      <w:pPr>
        <w:rPr>
          <w:rFonts w:ascii="Calibri" w:eastAsia="Calibri" w:hAnsi="Calibri" w:cs="Calibri"/>
        </w:rPr>
      </w:pPr>
      <w:r>
        <w:rPr>
          <w:rFonts w:ascii="Calibri" w:eastAsia="Calibri" w:hAnsi="Calibri" w:cs="Calibri"/>
        </w:rPr>
        <w:t xml:space="preserve">OMF-Standard number: 1.0 - </w:t>
      </w:r>
      <w:proofErr w:type="gramStart"/>
      <w:r>
        <w:rPr>
          <w:rFonts w:ascii="Calibri" w:eastAsia="Calibri" w:hAnsi="Calibri" w:cs="Calibri"/>
        </w:rPr>
        <w:t>Date: ..</w:t>
      </w:r>
      <w:proofErr w:type="gramEnd"/>
      <w:r>
        <w:rPr>
          <w:rFonts w:ascii="Calibri" w:eastAsia="Calibri" w:hAnsi="Calibri" w:cs="Calibri"/>
        </w:rPr>
        <w:t xml:space="preserve"> DOI: Owner/Authors: NN</w:t>
      </w:r>
    </w:p>
    <w:p w14:paraId="52A6F689" w14:textId="447B1CD6" w:rsidR="000D29AB" w:rsidRDefault="00000000">
      <w:pPr>
        <w:rPr>
          <w:rFonts w:ascii="Calibri" w:eastAsia="Calibri" w:hAnsi="Calibri" w:cs="Calibri"/>
        </w:rPr>
      </w:pPr>
      <w:r>
        <w:rPr>
          <w:rFonts w:ascii="Calibri" w:eastAsia="Calibri" w:hAnsi="Calibri" w:cs="Calibri"/>
        </w:rPr>
        <w:t xml:space="preserve">When making use of this standard, please cite as: … </w:t>
      </w:r>
      <w:r w:rsidR="00CD09F0">
        <w:rPr>
          <w:rFonts w:ascii="Calibri" w:eastAsia="Calibri" w:hAnsi="Calibri" w:cs="Calibri"/>
        </w:rPr>
        <w:t>[TBD]</w:t>
      </w:r>
    </w:p>
    <w:p w14:paraId="6A4CB784" w14:textId="1DB50485" w:rsidR="000D29AB" w:rsidRDefault="00000000">
      <w:pPr>
        <w:pStyle w:val="Heading1"/>
      </w:pPr>
      <w:r>
        <w:t>Scope</w:t>
      </w:r>
    </w:p>
    <w:p w14:paraId="1C292350" w14:textId="77777777" w:rsidR="000D29AB" w:rsidRDefault="00000000">
      <w:pPr>
        <w:spacing w:after="160" w:line="259" w:lineRule="auto"/>
        <w:rPr>
          <w:rFonts w:ascii="Calibri" w:eastAsia="Calibri" w:hAnsi="Calibri" w:cs="Calibri"/>
        </w:rPr>
      </w:pPr>
      <w:r>
        <w:rPr>
          <w:rFonts w:ascii="Calibri" w:eastAsia="Calibri" w:hAnsi="Calibri" w:cs="Calibri"/>
        </w:rPr>
        <w:t>OMF’s ODD protocol covers the following dimensions of modelling standards:</w:t>
      </w:r>
    </w:p>
    <w:tbl>
      <w:tblPr>
        <w:tblStyle w:val="a"/>
        <w:tblW w:w="9071"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00" w:firstRow="0" w:lastRow="0" w:firstColumn="0" w:lastColumn="0" w:noHBand="1" w:noVBand="1"/>
      </w:tblPr>
      <w:tblGrid>
        <w:gridCol w:w="3207"/>
        <w:gridCol w:w="5864"/>
      </w:tblGrid>
      <w:tr w:rsidR="000D29AB" w14:paraId="5FB9A534" w14:textId="77777777">
        <w:tc>
          <w:tcPr>
            <w:tcW w:w="3207" w:type="dxa"/>
            <w:tcBorders>
              <w:top w:val="single" w:sz="4" w:space="0" w:color="000000"/>
              <w:left w:val="single" w:sz="4" w:space="0" w:color="000000"/>
              <w:bottom w:val="single" w:sz="4" w:space="0" w:color="000000"/>
            </w:tcBorders>
            <w:shd w:val="clear" w:color="auto" w:fill="FFFFFF"/>
            <w:tcMar>
              <w:top w:w="0" w:type="dxa"/>
              <w:left w:w="100" w:type="dxa"/>
              <w:bottom w:w="0" w:type="dxa"/>
              <w:right w:w="100" w:type="dxa"/>
            </w:tcMar>
          </w:tcPr>
          <w:p w14:paraId="713C7E2A" w14:textId="0D82C2FE" w:rsidR="000D29AB" w:rsidRDefault="00000000">
            <w:pPr>
              <w:rPr>
                <w:rFonts w:ascii="Calibri" w:eastAsia="Calibri" w:hAnsi="Calibri" w:cs="Calibri"/>
                <w:b/>
                <w:bCs/>
                <w:vertAlign w:val="superscript"/>
              </w:rPr>
            </w:pPr>
            <w:r>
              <w:rPr>
                <w:rFonts w:ascii="Calibri" w:eastAsia="Calibri" w:hAnsi="Calibri" w:cs="Calibri"/>
                <w:b/>
                <w:bCs/>
              </w:rPr>
              <w:t>Standard’s dimension</w:t>
            </w:r>
            <w:r w:rsidR="0089320F">
              <w:rPr>
                <w:rFonts w:ascii="Calibri" w:eastAsia="Calibri" w:hAnsi="Calibri" w:cs="Calibri"/>
                <w:b/>
                <w:bCs/>
                <w:vertAlign w:val="superscript"/>
              </w:rPr>
              <w:t>1</w:t>
            </w:r>
          </w:p>
        </w:tc>
        <w:tc>
          <w:tcPr>
            <w:tcW w:w="5863" w:type="dxa"/>
            <w:tcBorders>
              <w:top w:val="single" w:sz="4" w:space="0" w:color="000000"/>
              <w:bottom w:val="single" w:sz="4" w:space="0" w:color="000000"/>
              <w:right w:val="single" w:sz="4" w:space="0" w:color="000000"/>
            </w:tcBorders>
            <w:shd w:val="clear" w:color="auto" w:fill="FFFFFF"/>
            <w:tcMar>
              <w:top w:w="0" w:type="dxa"/>
              <w:left w:w="100" w:type="dxa"/>
              <w:bottom w:w="0" w:type="dxa"/>
              <w:right w:w="100" w:type="dxa"/>
            </w:tcMar>
          </w:tcPr>
          <w:p w14:paraId="38C103C0" w14:textId="77777777" w:rsidR="000D29AB" w:rsidRDefault="00000000">
            <w:pPr>
              <w:rPr>
                <w:rFonts w:ascii="Calibri" w:eastAsia="Calibri" w:hAnsi="Calibri" w:cs="Calibri"/>
                <w:b/>
                <w:bCs/>
              </w:rPr>
            </w:pPr>
            <w:r>
              <w:rPr>
                <w:rFonts w:ascii="Calibri" w:eastAsia="Calibri" w:hAnsi="Calibri" w:cs="Calibri"/>
                <w:b/>
                <w:bCs/>
              </w:rPr>
              <w:t>OMF’s ODD protocol</w:t>
            </w:r>
          </w:p>
        </w:tc>
      </w:tr>
      <w:tr w:rsidR="000D29AB" w14:paraId="60C01595" w14:textId="77777777">
        <w:trPr>
          <w:trHeight w:val="285"/>
        </w:trPr>
        <w:tc>
          <w:tcPr>
            <w:tcW w:w="3207" w:type="dxa"/>
            <w:tcBorders>
              <w:left w:val="single" w:sz="4" w:space="0" w:color="000000"/>
              <w:bottom w:val="single" w:sz="4" w:space="0" w:color="000000"/>
              <w:right w:val="single" w:sz="4" w:space="0" w:color="000000"/>
            </w:tcBorders>
            <w:shd w:val="clear" w:color="auto" w:fill="FFFFFF"/>
            <w:tcMar>
              <w:top w:w="0" w:type="dxa"/>
              <w:left w:w="100" w:type="dxa"/>
              <w:bottom w:w="0" w:type="dxa"/>
              <w:right w:w="100" w:type="dxa"/>
            </w:tcMar>
          </w:tcPr>
          <w:p w14:paraId="7003AE87" w14:textId="77777777" w:rsidR="000D29AB" w:rsidRDefault="00000000">
            <w:pPr>
              <w:rPr>
                <w:rFonts w:ascii="Calibri" w:eastAsia="Calibri" w:hAnsi="Calibri" w:cs="Calibri"/>
              </w:rPr>
            </w:pPr>
            <w:r>
              <w:rPr>
                <w:rFonts w:ascii="Calibri" w:eastAsia="Calibri" w:hAnsi="Calibri" w:cs="Calibri"/>
              </w:rPr>
              <w:t>Type</w:t>
            </w:r>
          </w:p>
        </w:tc>
        <w:tc>
          <w:tcPr>
            <w:tcW w:w="5863" w:type="dxa"/>
            <w:tcBorders>
              <w:bottom w:val="single" w:sz="4" w:space="0" w:color="000000"/>
              <w:right w:val="single" w:sz="4" w:space="0" w:color="000000"/>
            </w:tcBorders>
            <w:shd w:val="clear" w:color="auto" w:fill="FFFFFF"/>
            <w:tcMar>
              <w:top w:w="0" w:type="dxa"/>
              <w:left w:w="100" w:type="dxa"/>
              <w:bottom w:w="0" w:type="dxa"/>
              <w:right w:w="100" w:type="dxa"/>
            </w:tcMar>
          </w:tcPr>
          <w:p w14:paraId="584B6DCC" w14:textId="77777777" w:rsidR="000D29AB" w:rsidRDefault="00000000">
            <w:pPr>
              <w:rPr>
                <w:rFonts w:ascii="Calibri" w:eastAsia="Calibri" w:hAnsi="Calibri" w:cs="Calibri"/>
              </w:rPr>
            </w:pPr>
            <w:r>
              <w:rPr>
                <w:rFonts w:ascii="Calibri" w:eastAsia="Calibri" w:hAnsi="Calibri" w:cs="Calibri"/>
              </w:rPr>
              <w:t>Norm</w:t>
            </w:r>
          </w:p>
        </w:tc>
      </w:tr>
      <w:tr w:rsidR="000D29AB" w14:paraId="1241B95D" w14:textId="77777777">
        <w:trPr>
          <w:trHeight w:val="555"/>
        </w:trPr>
        <w:tc>
          <w:tcPr>
            <w:tcW w:w="3207" w:type="dxa"/>
            <w:tcBorders>
              <w:left w:val="single" w:sz="4" w:space="0" w:color="000000"/>
              <w:bottom w:val="single" w:sz="4" w:space="0" w:color="000000"/>
              <w:right w:val="single" w:sz="4" w:space="0" w:color="000000"/>
            </w:tcBorders>
            <w:shd w:val="clear" w:color="auto" w:fill="FFFFFF"/>
            <w:tcMar>
              <w:top w:w="0" w:type="dxa"/>
              <w:left w:w="100" w:type="dxa"/>
              <w:bottom w:w="0" w:type="dxa"/>
              <w:right w:w="100" w:type="dxa"/>
            </w:tcMar>
          </w:tcPr>
          <w:p w14:paraId="4408D33D" w14:textId="77777777" w:rsidR="000D29AB" w:rsidRDefault="00000000">
            <w:pPr>
              <w:spacing w:line="240" w:lineRule="auto"/>
              <w:rPr>
                <w:rFonts w:ascii="Calibri" w:eastAsia="Calibri" w:hAnsi="Calibri" w:cs="Calibri"/>
              </w:rPr>
            </w:pPr>
            <w:r>
              <w:rPr>
                <w:rFonts w:ascii="Calibri" w:eastAsia="Calibri" w:hAnsi="Calibri" w:cs="Calibri"/>
              </w:rPr>
              <w:t>Principles relevant to FAIR-aligned modelling</w:t>
            </w:r>
          </w:p>
        </w:tc>
        <w:tc>
          <w:tcPr>
            <w:tcW w:w="5863" w:type="dxa"/>
            <w:tcBorders>
              <w:bottom w:val="single" w:sz="4" w:space="0" w:color="000000"/>
              <w:right w:val="single" w:sz="4" w:space="0" w:color="000000"/>
            </w:tcBorders>
            <w:shd w:val="clear" w:color="auto" w:fill="FFFFFF"/>
            <w:tcMar>
              <w:top w:w="0" w:type="dxa"/>
              <w:left w:w="100" w:type="dxa"/>
              <w:bottom w:w="0" w:type="dxa"/>
              <w:right w:w="100" w:type="dxa"/>
            </w:tcMar>
          </w:tcPr>
          <w:p w14:paraId="219CAA65" w14:textId="77777777" w:rsidR="000D29AB" w:rsidRDefault="00000000">
            <w:pPr>
              <w:rPr>
                <w:rFonts w:ascii="Calibri" w:eastAsia="Calibri" w:hAnsi="Calibri" w:cs="Calibri"/>
              </w:rPr>
            </w:pPr>
            <w:r>
              <w:rPr>
                <w:rFonts w:ascii="Calibri" w:eastAsia="Calibri" w:hAnsi="Calibri" w:cs="Calibri"/>
              </w:rPr>
              <w:t>Interoperability (informational), Transparency</w:t>
            </w:r>
          </w:p>
        </w:tc>
      </w:tr>
      <w:tr w:rsidR="000D29AB" w14:paraId="14D69645" w14:textId="77777777">
        <w:trPr>
          <w:trHeight w:val="285"/>
        </w:trPr>
        <w:tc>
          <w:tcPr>
            <w:tcW w:w="3207" w:type="dxa"/>
            <w:tcBorders>
              <w:left w:val="single" w:sz="4" w:space="0" w:color="000000"/>
              <w:bottom w:val="single" w:sz="4" w:space="0" w:color="000000"/>
              <w:right w:val="single" w:sz="4" w:space="0" w:color="000000"/>
            </w:tcBorders>
            <w:shd w:val="clear" w:color="auto" w:fill="FFFFFF"/>
            <w:tcMar>
              <w:top w:w="0" w:type="dxa"/>
              <w:left w:w="100" w:type="dxa"/>
              <w:bottom w:w="0" w:type="dxa"/>
              <w:right w:w="100" w:type="dxa"/>
            </w:tcMar>
          </w:tcPr>
          <w:p w14:paraId="7E70E200" w14:textId="77777777" w:rsidR="000D29AB" w:rsidRDefault="00000000">
            <w:pPr>
              <w:rPr>
                <w:rFonts w:ascii="Calibri" w:eastAsia="Calibri" w:hAnsi="Calibri" w:cs="Calibri"/>
              </w:rPr>
            </w:pPr>
            <w:r>
              <w:rPr>
                <w:rFonts w:ascii="Calibri" w:eastAsia="Calibri" w:hAnsi="Calibri" w:cs="Calibri"/>
              </w:rPr>
              <w:t>Function</w:t>
            </w:r>
          </w:p>
        </w:tc>
        <w:tc>
          <w:tcPr>
            <w:tcW w:w="5863" w:type="dxa"/>
            <w:tcBorders>
              <w:bottom w:val="single" w:sz="4" w:space="0" w:color="000000"/>
              <w:right w:val="single" w:sz="4" w:space="0" w:color="000000"/>
            </w:tcBorders>
            <w:shd w:val="clear" w:color="auto" w:fill="FFFFFF"/>
            <w:tcMar>
              <w:top w:w="0" w:type="dxa"/>
              <w:left w:w="100" w:type="dxa"/>
              <w:bottom w:w="0" w:type="dxa"/>
              <w:right w:w="100" w:type="dxa"/>
            </w:tcMar>
          </w:tcPr>
          <w:p w14:paraId="4B9B0333" w14:textId="77777777" w:rsidR="000D29AB" w:rsidRDefault="00000000">
            <w:pPr>
              <w:rPr>
                <w:rFonts w:ascii="Calibri" w:eastAsia="Calibri" w:hAnsi="Calibri" w:cs="Calibri"/>
              </w:rPr>
            </w:pPr>
            <w:r>
              <w:rPr>
                <w:rFonts w:ascii="Calibri" w:eastAsia="Calibri" w:hAnsi="Calibri" w:cs="Calibri"/>
              </w:rPr>
              <w:t>Model transparency, Reusability of model</w:t>
            </w:r>
          </w:p>
        </w:tc>
      </w:tr>
      <w:tr w:rsidR="000D29AB" w14:paraId="0F1D58DF" w14:textId="77777777">
        <w:trPr>
          <w:trHeight w:val="285"/>
        </w:trPr>
        <w:tc>
          <w:tcPr>
            <w:tcW w:w="3207" w:type="dxa"/>
            <w:tcBorders>
              <w:left w:val="single" w:sz="4" w:space="0" w:color="000000"/>
              <w:bottom w:val="single" w:sz="4" w:space="0" w:color="000000"/>
              <w:right w:val="single" w:sz="4" w:space="0" w:color="000000"/>
            </w:tcBorders>
            <w:shd w:val="clear" w:color="auto" w:fill="FFFFFF"/>
            <w:tcMar>
              <w:top w:w="0" w:type="dxa"/>
              <w:left w:w="100" w:type="dxa"/>
              <w:bottom w:w="0" w:type="dxa"/>
              <w:right w:w="100" w:type="dxa"/>
            </w:tcMar>
          </w:tcPr>
          <w:p w14:paraId="074F8746" w14:textId="77777777" w:rsidR="000D29AB" w:rsidRDefault="00000000">
            <w:pPr>
              <w:rPr>
                <w:rFonts w:ascii="Calibri" w:eastAsia="Calibri" w:hAnsi="Calibri" w:cs="Calibri"/>
              </w:rPr>
            </w:pPr>
            <w:r>
              <w:rPr>
                <w:rFonts w:ascii="Calibri" w:eastAsia="Calibri" w:hAnsi="Calibri" w:cs="Calibri"/>
              </w:rPr>
              <w:t>Model life cycle contribution</w:t>
            </w:r>
          </w:p>
        </w:tc>
        <w:tc>
          <w:tcPr>
            <w:tcW w:w="5863" w:type="dxa"/>
            <w:tcBorders>
              <w:bottom w:val="single" w:sz="4" w:space="0" w:color="000000"/>
              <w:right w:val="single" w:sz="4" w:space="0" w:color="000000"/>
            </w:tcBorders>
            <w:shd w:val="clear" w:color="auto" w:fill="FFFFFF"/>
            <w:tcMar>
              <w:top w:w="0" w:type="dxa"/>
              <w:left w:w="100" w:type="dxa"/>
              <w:bottom w:w="0" w:type="dxa"/>
              <w:right w:w="100" w:type="dxa"/>
            </w:tcMar>
          </w:tcPr>
          <w:p w14:paraId="1105305F" w14:textId="77777777" w:rsidR="000D29AB" w:rsidRDefault="00000000">
            <w:pPr>
              <w:rPr>
                <w:rFonts w:ascii="Calibri" w:eastAsia="Calibri" w:hAnsi="Calibri" w:cs="Calibri"/>
                <w:vertAlign w:val="superscript"/>
              </w:rPr>
            </w:pPr>
            <w:r>
              <w:rPr>
                <w:rFonts w:ascii="Calibri" w:eastAsia="Calibri" w:hAnsi="Calibri" w:cs="Calibri"/>
              </w:rPr>
              <w:t>Model documentation</w:t>
            </w:r>
          </w:p>
        </w:tc>
      </w:tr>
      <w:tr w:rsidR="000D29AB" w14:paraId="54F3006D" w14:textId="77777777">
        <w:trPr>
          <w:trHeight w:val="330"/>
        </w:trPr>
        <w:tc>
          <w:tcPr>
            <w:tcW w:w="3207" w:type="dxa"/>
            <w:tcBorders>
              <w:left w:val="single" w:sz="4" w:space="0" w:color="000000"/>
              <w:bottom w:val="single" w:sz="4" w:space="0" w:color="000000"/>
              <w:right w:val="single" w:sz="4" w:space="0" w:color="000000"/>
            </w:tcBorders>
            <w:shd w:val="clear" w:color="auto" w:fill="FFFFFF"/>
            <w:tcMar>
              <w:top w:w="0" w:type="dxa"/>
              <w:left w:w="100" w:type="dxa"/>
              <w:bottom w:w="0" w:type="dxa"/>
              <w:right w:w="100" w:type="dxa"/>
            </w:tcMar>
          </w:tcPr>
          <w:p w14:paraId="73E72ADD" w14:textId="77777777" w:rsidR="000D29AB" w:rsidRDefault="00000000">
            <w:pPr>
              <w:rPr>
                <w:rFonts w:ascii="Calibri" w:eastAsia="Calibri" w:hAnsi="Calibri" w:cs="Calibri"/>
              </w:rPr>
            </w:pPr>
            <w:r>
              <w:rPr>
                <w:rFonts w:ascii="Calibri" w:eastAsia="Calibri" w:hAnsi="Calibri" w:cs="Calibri"/>
              </w:rPr>
              <w:t>Stakeholders</w:t>
            </w:r>
          </w:p>
        </w:tc>
        <w:tc>
          <w:tcPr>
            <w:tcW w:w="5863" w:type="dxa"/>
            <w:tcBorders>
              <w:bottom w:val="single" w:sz="4" w:space="0" w:color="000000"/>
              <w:right w:val="single" w:sz="4" w:space="0" w:color="000000"/>
            </w:tcBorders>
            <w:shd w:val="clear" w:color="auto" w:fill="FFFFFF"/>
            <w:tcMar>
              <w:top w:w="0" w:type="dxa"/>
              <w:left w:w="100" w:type="dxa"/>
              <w:bottom w:w="0" w:type="dxa"/>
              <w:right w:w="100" w:type="dxa"/>
            </w:tcMar>
          </w:tcPr>
          <w:p w14:paraId="066467E9" w14:textId="77777777" w:rsidR="000D29AB" w:rsidRDefault="00000000">
            <w:pPr>
              <w:rPr>
                <w:rFonts w:ascii="Calibri" w:eastAsia="Calibri" w:hAnsi="Calibri" w:cs="Calibri"/>
                <w:vertAlign w:val="superscript"/>
              </w:rPr>
            </w:pPr>
            <w:r>
              <w:rPr>
                <w:rFonts w:ascii="Calibri" w:eastAsia="Calibri" w:hAnsi="Calibri" w:cs="Calibri"/>
              </w:rPr>
              <w:t>All possible stakeholders</w:t>
            </w:r>
          </w:p>
        </w:tc>
      </w:tr>
    </w:tbl>
    <w:p w14:paraId="09644AF0" w14:textId="669C3580" w:rsidR="000D29AB" w:rsidRDefault="0089320F">
      <w:pPr>
        <w:spacing w:line="240" w:lineRule="auto"/>
        <w:rPr>
          <w:rFonts w:ascii="Calibri" w:eastAsia="Calibri" w:hAnsi="Calibri" w:cs="Calibri"/>
          <w:sz w:val="18"/>
          <w:szCs w:val="18"/>
        </w:rPr>
      </w:pPr>
      <w:r>
        <w:rPr>
          <w:rFonts w:ascii="Calibri" w:eastAsia="Calibri" w:hAnsi="Calibri" w:cs="Calibri"/>
          <w:sz w:val="18"/>
          <w:szCs w:val="18"/>
          <w:vertAlign w:val="superscript"/>
        </w:rPr>
        <w:t>1</w:t>
      </w:r>
      <w:r w:rsidR="00000000">
        <w:rPr>
          <w:rFonts w:ascii="Calibri" w:eastAsia="Calibri" w:hAnsi="Calibri" w:cs="Calibri"/>
          <w:sz w:val="18"/>
          <w:szCs w:val="18"/>
          <w:vertAlign w:val="superscript"/>
        </w:rPr>
        <w:t xml:space="preserve"> </w:t>
      </w:r>
      <w:r w:rsidR="00000000">
        <w:rPr>
          <w:rFonts w:ascii="Calibri" w:eastAsia="Calibri" w:hAnsi="Calibri" w:cs="Calibri"/>
          <w:sz w:val="18"/>
          <w:szCs w:val="18"/>
        </w:rPr>
        <w:t>from Rosello et al. (2026), see Supplement S.1</w:t>
      </w:r>
    </w:p>
    <w:p w14:paraId="679B9DE5" w14:textId="77777777" w:rsidR="000D29AB" w:rsidRDefault="00000000">
      <w:pPr>
        <w:pStyle w:val="Heading1"/>
      </w:pPr>
      <w:bookmarkStart w:id="3" w:name="_lngjnjg9asvp" w:colFirst="0" w:colLast="0"/>
      <w:bookmarkEnd w:id="3"/>
      <w:r>
        <w:lastRenderedPageBreak/>
        <w:t>Compliance</w:t>
      </w:r>
    </w:p>
    <w:p w14:paraId="580549AF" w14:textId="77777777" w:rsidR="000D29AB" w:rsidRDefault="00000000">
      <w:pPr>
        <w:rPr>
          <w:u w:val="single"/>
        </w:rPr>
      </w:pPr>
      <w:r>
        <w:rPr>
          <w:u w:val="single"/>
        </w:rPr>
        <w:t xml:space="preserve">How can authors tell if they have complied with the standard? </w:t>
      </w:r>
    </w:p>
    <w:p w14:paraId="5DE8A334" w14:textId="77777777" w:rsidR="000D29AB" w:rsidRDefault="00000000">
      <w:pPr>
        <w:spacing w:after="200"/>
      </w:pPr>
      <w:r>
        <w:rPr>
          <w:rFonts w:ascii="Calibri" w:eastAsia="Calibri" w:hAnsi="Calibri" w:cs="Calibri"/>
          <w:b/>
          <w:bCs/>
        </w:rPr>
        <w:t>OMF’s ODD protocol comes with a template</w:t>
      </w:r>
      <w:r>
        <w:rPr>
          <w:rFonts w:ascii="Calibri" w:eastAsia="Calibri" w:hAnsi="Calibri" w:cs="Calibri"/>
        </w:rPr>
        <w:t xml:space="preserve"> which introduces a document structure (Overview, Design concept, Details) and a certain terminology (e.g., entities, variables, processes, scheduling, design concepts). Using this terminology and the template is mandatory and can easily be checked. The glossary below makes sure that the terminology, which narrows down certain terms to a specific meaning, is used consistently. </w:t>
      </w:r>
    </w:p>
    <w:p w14:paraId="40C9D98F" w14:textId="77777777" w:rsidR="000D29AB" w:rsidRDefault="00000000">
      <w:pPr>
        <w:rPr>
          <w:u w:val="single"/>
        </w:rPr>
      </w:pPr>
      <w:r>
        <w:rPr>
          <w:u w:val="single"/>
        </w:rPr>
        <w:t xml:space="preserve">How can others tell? </w:t>
      </w:r>
    </w:p>
    <w:p w14:paraId="1AAC0A5C" w14:textId="77777777" w:rsidR="000D29AB" w:rsidRDefault="00000000">
      <w:pPr>
        <w:rPr>
          <w:rFonts w:ascii="Calibri" w:eastAsia="Calibri" w:hAnsi="Calibri" w:cs="Calibri"/>
        </w:rPr>
      </w:pPr>
      <w:r>
        <w:rPr>
          <w:rFonts w:ascii="Calibri" w:eastAsia="Calibri" w:hAnsi="Calibri" w:cs="Calibri"/>
        </w:rPr>
        <w:t>By using the template and the terminology/glossary as a checklist</w:t>
      </w:r>
      <w:r>
        <w:rPr>
          <w:rFonts w:ascii="Calibri" w:eastAsia="Calibri" w:hAnsi="Calibri" w:cs="Calibri"/>
          <w:vertAlign w:val="superscript"/>
        </w:rPr>
        <w:footnoteReference w:id="2"/>
      </w:r>
      <w:r>
        <w:rPr>
          <w:rFonts w:ascii="Calibri" w:eastAsia="Calibri" w:hAnsi="Calibri" w:cs="Calibri"/>
        </w:rPr>
        <w:t xml:space="preserve">. </w:t>
      </w:r>
    </w:p>
    <w:p w14:paraId="551622DE" w14:textId="77777777" w:rsidR="000D29AB" w:rsidRDefault="00000000">
      <w:pPr>
        <w:pStyle w:val="Heading1"/>
      </w:pPr>
      <w:bookmarkStart w:id="4" w:name="_tucr7lkp3piw" w:colFirst="0" w:colLast="0"/>
      <w:bookmarkEnd w:id="4"/>
      <w:r>
        <w:t>The standard’s definition</w:t>
      </w:r>
    </w:p>
    <w:p w14:paraId="4D44885F" w14:textId="77777777" w:rsidR="000D29AB" w:rsidRDefault="00000000">
      <w:pPr>
        <w:pBdr>
          <w:top w:val="single" w:sz="4" w:space="1" w:color="000000"/>
          <w:left w:val="single" w:sz="4" w:space="4" w:color="000000"/>
          <w:bottom w:val="single" w:sz="4" w:space="1" w:color="000000"/>
          <w:right w:val="single" w:sz="4" w:space="4" w:color="000000"/>
        </w:pBdr>
        <w:spacing w:after="160" w:line="259" w:lineRule="auto"/>
        <w:rPr>
          <w:rFonts w:ascii="Calibri" w:eastAsia="Calibri" w:hAnsi="Calibri" w:cs="Calibri"/>
          <w:b/>
          <w:bCs/>
        </w:rPr>
      </w:pPr>
      <w:r>
        <w:rPr>
          <w:rFonts w:ascii="Calibri" w:eastAsia="Calibri" w:hAnsi="Calibri" w:cs="Calibri"/>
          <w:b/>
          <w:bCs/>
        </w:rPr>
        <w:t>OMF’s ODD protocol for standard model descriptions</w:t>
      </w:r>
    </w:p>
    <w:p w14:paraId="593089AA" w14:textId="77777777" w:rsidR="000D29AB" w:rsidRDefault="00000000">
      <w:pPr>
        <w:pBdr>
          <w:top w:val="single" w:sz="4" w:space="1" w:color="000000"/>
          <w:left w:val="single" w:sz="4" w:space="4" w:color="000000"/>
          <w:bottom w:val="single" w:sz="4" w:space="1" w:color="000000"/>
          <w:right w:val="single" w:sz="4" w:space="4" w:color="000000"/>
        </w:pBdr>
        <w:spacing w:after="160" w:line="240" w:lineRule="auto"/>
        <w:rPr>
          <w:rFonts w:ascii="Calibri" w:eastAsia="Calibri" w:hAnsi="Calibri" w:cs="Calibri"/>
        </w:rPr>
      </w:pPr>
      <w:r>
        <w:rPr>
          <w:rFonts w:ascii="Calibri" w:eastAsia="Calibri" w:hAnsi="Calibri" w:cs="Calibri"/>
        </w:rPr>
        <w:t xml:space="preserve">The ODD protocol comprises three parts: Overview, Design Concepts, and Details. The </w:t>
      </w:r>
      <w:r>
        <w:rPr>
          <w:rFonts w:ascii="Calibri" w:eastAsia="Calibri" w:hAnsi="Calibri" w:cs="Calibri"/>
          <w:b/>
          <w:bCs/>
        </w:rPr>
        <w:t xml:space="preserve">Overview </w:t>
      </w:r>
      <w:r>
        <w:rPr>
          <w:rFonts w:ascii="Calibri" w:eastAsia="Calibri" w:hAnsi="Calibri" w:cs="Calibri"/>
        </w:rPr>
        <w:t xml:space="preserve">provides an overview of the model’s purpose, questions, validation criteria, state variables, processes, and scales. The </w:t>
      </w:r>
      <w:r>
        <w:rPr>
          <w:rFonts w:ascii="Calibri" w:eastAsia="Calibri" w:hAnsi="Calibri" w:cs="Calibri"/>
          <w:b/>
          <w:bCs/>
        </w:rPr>
        <w:t xml:space="preserve">Design Concepts </w:t>
      </w:r>
      <w:r>
        <w:rPr>
          <w:rFonts w:ascii="Calibri" w:eastAsia="Calibri" w:hAnsi="Calibri" w:cs="Calibri"/>
        </w:rPr>
        <w:t xml:space="preserve">part lists important concepts underlying the model’s design; it is meant to make sure these concepts are addressed explicitly. The </w:t>
      </w:r>
      <w:r>
        <w:rPr>
          <w:rFonts w:ascii="Calibri" w:eastAsia="Calibri" w:hAnsi="Calibri" w:cs="Calibri"/>
          <w:b/>
          <w:bCs/>
        </w:rPr>
        <w:t xml:space="preserve">Details </w:t>
      </w:r>
      <w:r>
        <w:rPr>
          <w:rFonts w:ascii="Calibri" w:eastAsia="Calibri" w:hAnsi="Calibri" w:cs="Calibri"/>
        </w:rPr>
        <w:t xml:space="preserve">part includes information about the model’s initialization, input data representing external drivers, and the details of the </w:t>
      </w:r>
      <w:proofErr w:type="spellStart"/>
      <w:r>
        <w:rPr>
          <w:rFonts w:ascii="Calibri" w:eastAsia="Calibri" w:hAnsi="Calibri" w:cs="Calibri"/>
        </w:rPr>
        <w:t>submodels</w:t>
      </w:r>
      <w:proofErr w:type="spellEnd"/>
      <w:r>
        <w:rPr>
          <w:rFonts w:ascii="Calibri" w:eastAsia="Calibri" w:hAnsi="Calibri" w:cs="Calibri"/>
        </w:rPr>
        <w:t xml:space="preserve"> implementing the model’s processes.</w:t>
      </w:r>
    </w:p>
    <w:p w14:paraId="361E20D7" w14:textId="77777777" w:rsidR="000D29AB" w:rsidRDefault="00000000">
      <w:pPr>
        <w:pBdr>
          <w:top w:val="single" w:sz="4" w:space="1" w:color="000000"/>
          <w:left w:val="single" w:sz="4" w:space="4" w:color="000000"/>
          <w:bottom w:val="single" w:sz="4" w:space="1" w:color="000000"/>
          <w:right w:val="single" w:sz="4" w:space="4" w:color="000000"/>
        </w:pBdr>
        <w:spacing w:after="160" w:line="240" w:lineRule="auto"/>
        <w:rPr>
          <w:rFonts w:ascii="Calibri" w:eastAsia="Calibri" w:hAnsi="Calibri" w:cs="Calibri"/>
        </w:rPr>
      </w:pPr>
      <w:r>
        <w:rPr>
          <w:rFonts w:ascii="Calibri" w:eastAsia="Calibri" w:hAnsi="Calibri" w:cs="Calibri"/>
        </w:rPr>
        <w:t>ODD model descriptions include seven elements (Table 1).</w:t>
      </w:r>
    </w:p>
    <w:p w14:paraId="3CDEA907" w14:textId="77777777" w:rsidR="000D29AB" w:rsidRDefault="00000000">
      <w:pPr>
        <w:pBdr>
          <w:top w:val="single" w:sz="4" w:space="1" w:color="000000"/>
          <w:left w:val="single" w:sz="4" w:space="4" w:color="000000"/>
          <w:bottom w:val="single" w:sz="4" w:space="1" w:color="000000"/>
          <w:right w:val="single" w:sz="4" w:space="4" w:color="000000"/>
        </w:pBdr>
        <w:spacing w:after="160" w:line="240" w:lineRule="auto"/>
        <w:rPr>
          <w:rFonts w:ascii="Calibri" w:eastAsia="Calibri" w:hAnsi="Calibri" w:cs="Calibri"/>
        </w:rPr>
      </w:pPr>
      <w:r>
        <w:rPr>
          <w:rFonts w:ascii="Calibri" w:eastAsia="Calibri" w:hAnsi="Calibri" w:cs="Calibri"/>
        </w:rPr>
        <w:t xml:space="preserve">OMF’s ODD follows a tiered approach: </w:t>
      </w:r>
    </w:p>
    <w:p w14:paraId="450751FA" w14:textId="77777777" w:rsidR="000D29AB" w:rsidRDefault="00000000">
      <w:pPr>
        <w:pBdr>
          <w:top w:val="single" w:sz="4" w:space="1" w:color="000000"/>
          <w:left w:val="single" w:sz="4" w:space="4" w:color="000000"/>
          <w:bottom w:val="single" w:sz="4" w:space="1" w:color="000000"/>
          <w:right w:val="single" w:sz="4" w:space="4" w:color="000000"/>
        </w:pBdr>
        <w:spacing w:after="160" w:line="240" w:lineRule="auto"/>
        <w:rPr>
          <w:rFonts w:ascii="Calibri" w:eastAsia="Calibri" w:hAnsi="Calibri" w:cs="Calibri"/>
        </w:rPr>
      </w:pPr>
      <w:r>
        <w:rPr>
          <w:rFonts w:ascii="Calibri" w:eastAsia="Calibri" w:hAnsi="Calibri" w:cs="Calibri"/>
        </w:rPr>
        <w:t xml:space="preserve">At the </w:t>
      </w:r>
      <w:r>
        <w:rPr>
          <w:rFonts w:ascii="Calibri" w:eastAsia="Calibri" w:hAnsi="Calibri" w:cs="Calibri"/>
          <w:b/>
          <w:bCs/>
        </w:rPr>
        <w:t>base level</w:t>
      </w:r>
      <w:r>
        <w:rPr>
          <w:rFonts w:ascii="Calibri" w:eastAsia="Calibri" w:hAnsi="Calibri" w:cs="Calibri"/>
        </w:rPr>
        <w:t xml:space="preserve">, only the O part is provided, but the remaining model description explicitly refers to the entities, state variables, processes and scales of the O part, by using the same names for variables etc. </w:t>
      </w:r>
    </w:p>
    <w:p w14:paraId="44E0B4E5" w14:textId="77777777" w:rsidR="000D29AB" w:rsidRDefault="00000000">
      <w:pPr>
        <w:pBdr>
          <w:top w:val="single" w:sz="4" w:space="1" w:color="000000"/>
          <w:left w:val="single" w:sz="4" w:space="4" w:color="000000"/>
          <w:bottom w:val="single" w:sz="4" w:space="1" w:color="000000"/>
          <w:right w:val="single" w:sz="4" w:space="4" w:color="000000"/>
        </w:pBdr>
        <w:spacing w:after="160" w:line="240" w:lineRule="auto"/>
        <w:rPr>
          <w:rFonts w:ascii="Calibri" w:eastAsia="Calibri" w:hAnsi="Calibri" w:cs="Calibri"/>
        </w:rPr>
      </w:pPr>
      <w:r>
        <w:rPr>
          <w:rFonts w:ascii="Calibri" w:eastAsia="Calibri" w:hAnsi="Calibri" w:cs="Calibri"/>
        </w:rPr>
        <w:t xml:space="preserve">At the </w:t>
      </w:r>
      <w:r>
        <w:rPr>
          <w:rFonts w:ascii="Calibri" w:eastAsia="Calibri" w:hAnsi="Calibri" w:cs="Calibri"/>
          <w:b/>
          <w:bCs/>
        </w:rPr>
        <w:t>full level</w:t>
      </w:r>
      <w:r>
        <w:rPr>
          <w:rFonts w:ascii="Calibri" w:eastAsia="Calibri" w:hAnsi="Calibri" w:cs="Calibri"/>
        </w:rPr>
        <w:t xml:space="preserve">, all three parts O, D, and D should be covered. Here, the O part follows the protocol, while for the two Details part, detailed instructions so far only exist for purely algorithmic models (agent-based, cellular automata-type models, etc.), while </w:t>
      </w:r>
      <w:proofErr w:type="spellStart"/>
      <w:r>
        <w:rPr>
          <w:rFonts w:ascii="Calibri" w:eastAsia="Calibri" w:hAnsi="Calibri" w:cs="Calibri"/>
        </w:rPr>
        <w:t>substandards</w:t>
      </w:r>
      <w:proofErr w:type="spellEnd"/>
      <w:r>
        <w:rPr>
          <w:rFonts w:ascii="Calibri" w:eastAsia="Calibri" w:hAnsi="Calibri" w:cs="Calibri"/>
        </w:rPr>
        <w:t xml:space="preserve"> for, e.g., purely equation-based models do not yet exist. Instead, the generic template of OMF’s ODD provides checklists, following the rationale of reporting guidelines in medical research</w:t>
      </w:r>
      <w:r>
        <w:rPr>
          <w:rFonts w:ascii="Calibri" w:eastAsia="Calibri" w:hAnsi="Calibri" w:cs="Calibri"/>
          <w:vertAlign w:val="superscript"/>
        </w:rPr>
        <w:footnoteReference w:id="3"/>
      </w:r>
      <w:r>
        <w:rPr>
          <w:rFonts w:ascii="Calibri" w:eastAsia="Calibri" w:hAnsi="Calibri" w:cs="Calibri"/>
        </w:rPr>
        <w:t xml:space="preserve">. </w:t>
      </w:r>
    </w:p>
    <w:p w14:paraId="7B887D32" w14:textId="77777777" w:rsidR="000D29AB" w:rsidRDefault="00000000">
      <w:pPr>
        <w:spacing w:after="160" w:line="259" w:lineRule="auto"/>
        <w:rPr>
          <w:rFonts w:ascii="Calibri" w:eastAsia="Calibri" w:hAnsi="Calibri" w:cs="Calibri"/>
          <w:b/>
          <w:bCs/>
        </w:rPr>
      </w:pPr>
      <w:r>
        <w:br w:type="page"/>
      </w:r>
    </w:p>
    <w:p w14:paraId="3E37D65C" w14:textId="77777777" w:rsidR="000D29AB" w:rsidRDefault="00000000">
      <w:pPr>
        <w:spacing w:after="160" w:line="259" w:lineRule="auto"/>
        <w:rPr>
          <w:rFonts w:ascii="Calibri" w:eastAsia="Calibri" w:hAnsi="Calibri" w:cs="Calibri"/>
        </w:rPr>
      </w:pPr>
      <w:r>
        <w:rPr>
          <w:rFonts w:ascii="Calibri" w:eastAsia="Calibri" w:hAnsi="Calibri" w:cs="Calibri"/>
          <w:b/>
          <w:bCs/>
        </w:rPr>
        <w:lastRenderedPageBreak/>
        <w:t>Table 1</w:t>
      </w:r>
      <w:r>
        <w:rPr>
          <w:rFonts w:ascii="Calibri" w:eastAsia="Calibri" w:hAnsi="Calibri" w:cs="Calibri"/>
        </w:rPr>
        <w:t>: This is the main structure of a full ODD model description, comprised of seven elements.</w:t>
      </w:r>
    </w:p>
    <w:tbl>
      <w:tblPr>
        <w:tblStyle w:val="a0"/>
        <w:tblW w:w="9071" w:type="dxa"/>
        <w:tblInd w:w="0" w:type="dxa"/>
        <w:tblLayout w:type="fixed"/>
        <w:tblLook w:val="0600" w:firstRow="0" w:lastRow="0" w:firstColumn="0" w:lastColumn="0" w:noHBand="1" w:noVBand="1"/>
      </w:tblPr>
      <w:tblGrid>
        <w:gridCol w:w="1284"/>
        <w:gridCol w:w="1521"/>
        <w:gridCol w:w="1700"/>
        <w:gridCol w:w="4566"/>
      </w:tblGrid>
      <w:tr w:rsidR="000D29AB" w14:paraId="7435CB6B" w14:textId="77777777" w:rsidTr="005E76CE">
        <w:trPr>
          <w:trHeight w:val="360"/>
        </w:trPr>
        <w:tc>
          <w:tcPr>
            <w:tcW w:w="1283" w:type="dxa"/>
            <w:tcBorders>
              <w:top w:val="single" w:sz="18" w:space="0" w:color="222222"/>
              <w:left w:val="single" w:sz="18" w:space="0" w:color="222222"/>
              <w:bottom w:val="single" w:sz="12" w:space="0" w:color="222222"/>
            </w:tcBorders>
            <w:shd w:val="clear" w:color="auto" w:fill="FFFFFF"/>
            <w:tcMar>
              <w:top w:w="0" w:type="dxa"/>
              <w:left w:w="100" w:type="dxa"/>
              <w:bottom w:w="0" w:type="dxa"/>
              <w:right w:w="100" w:type="dxa"/>
            </w:tcMar>
          </w:tcPr>
          <w:p w14:paraId="7F27502C" w14:textId="77777777" w:rsidR="000D29AB" w:rsidRDefault="00000000">
            <w:pPr>
              <w:spacing w:line="240" w:lineRule="auto"/>
              <w:jc w:val="center"/>
              <w:rPr>
                <w:rFonts w:ascii="Calibri" w:eastAsia="Calibri" w:hAnsi="Calibri" w:cs="Calibri"/>
                <w:b/>
                <w:bCs/>
                <w:highlight w:val="white"/>
              </w:rPr>
            </w:pPr>
            <w:r>
              <w:rPr>
                <w:rFonts w:ascii="Calibri" w:eastAsia="Calibri" w:hAnsi="Calibri" w:cs="Calibri"/>
                <w:b/>
                <w:bCs/>
                <w:highlight w:val="white"/>
              </w:rPr>
              <w:t>ODD</w:t>
            </w:r>
          </w:p>
        </w:tc>
        <w:tc>
          <w:tcPr>
            <w:tcW w:w="1521" w:type="dxa"/>
            <w:tcBorders>
              <w:top w:val="single" w:sz="18" w:space="0" w:color="222222"/>
              <w:bottom w:val="single" w:sz="12" w:space="0" w:color="222222"/>
            </w:tcBorders>
            <w:shd w:val="clear" w:color="auto" w:fill="FFFFFF"/>
            <w:tcMar>
              <w:top w:w="0" w:type="dxa"/>
              <w:left w:w="100" w:type="dxa"/>
              <w:bottom w:w="0" w:type="dxa"/>
              <w:right w:w="100" w:type="dxa"/>
            </w:tcMar>
          </w:tcPr>
          <w:p w14:paraId="223BB680" w14:textId="77777777" w:rsidR="000D29AB" w:rsidRDefault="00000000">
            <w:pPr>
              <w:spacing w:line="240" w:lineRule="auto"/>
              <w:jc w:val="center"/>
              <w:rPr>
                <w:rFonts w:ascii="Calibri" w:eastAsia="Calibri" w:hAnsi="Calibri" w:cs="Calibri"/>
                <w:b/>
                <w:bCs/>
                <w:highlight w:val="white"/>
              </w:rPr>
            </w:pPr>
            <w:r>
              <w:rPr>
                <w:rFonts w:ascii="Calibri" w:eastAsia="Calibri" w:hAnsi="Calibri" w:cs="Calibri"/>
                <w:b/>
                <w:bCs/>
                <w:highlight w:val="white"/>
              </w:rPr>
              <w:t>ODD element</w:t>
            </w:r>
          </w:p>
        </w:tc>
        <w:tc>
          <w:tcPr>
            <w:tcW w:w="6265" w:type="dxa"/>
            <w:gridSpan w:val="2"/>
            <w:tcBorders>
              <w:top w:val="single" w:sz="18" w:space="0" w:color="222222"/>
              <w:bottom w:val="single" w:sz="12" w:space="0" w:color="222222"/>
              <w:right w:val="single" w:sz="18" w:space="0" w:color="auto"/>
            </w:tcBorders>
            <w:shd w:val="clear" w:color="auto" w:fill="FFFFFF"/>
            <w:tcMar>
              <w:top w:w="0" w:type="dxa"/>
              <w:left w:w="100" w:type="dxa"/>
              <w:bottom w:w="0" w:type="dxa"/>
              <w:right w:w="100" w:type="dxa"/>
            </w:tcMar>
          </w:tcPr>
          <w:p w14:paraId="67D5128E" w14:textId="77777777" w:rsidR="000D29AB" w:rsidRDefault="00000000">
            <w:pPr>
              <w:spacing w:line="240" w:lineRule="auto"/>
              <w:jc w:val="center"/>
              <w:rPr>
                <w:rFonts w:ascii="Calibri" w:eastAsia="Calibri" w:hAnsi="Calibri" w:cs="Calibri"/>
                <w:b/>
                <w:bCs/>
                <w:highlight w:val="white"/>
              </w:rPr>
            </w:pPr>
            <w:r>
              <w:rPr>
                <w:rFonts w:ascii="Calibri" w:eastAsia="Calibri" w:hAnsi="Calibri" w:cs="Calibri"/>
                <w:b/>
                <w:bCs/>
                <w:highlight w:val="white"/>
              </w:rPr>
              <w:t>Content and purpose</w:t>
            </w:r>
          </w:p>
        </w:tc>
      </w:tr>
      <w:tr w:rsidR="000D29AB" w14:paraId="704A632E" w14:textId="77777777" w:rsidTr="005E76CE">
        <w:trPr>
          <w:trHeight w:val="840"/>
        </w:trPr>
        <w:tc>
          <w:tcPr>
            <w:tcW w:w="1283" w:type="dxa"/>
            <w:vMerge w:val="restart"/>
            <w:tcBorders>
              <w:top w:val="single" w:sz="12" w:space="0" w:color="222222"/>
              <w:left w:val="single" w:sz="18" w:space="0" w:color="222222"/>
              <w:bottom w:val="single" w:sz="8" w:space="0" w:color="222222"/>
              <w:right w:val="single" w:sz="8" w:space="0" w:color="222222"/>
            </w:tcBorders>
            <w:shd w:val="clear" w:color="auto" w:fill="FFFFFF"/>
            <w:tcMar>
              <w:top w:w="0" w:type="dxa"/>
              <w:left w:w="100" w:type="dxa"/>
              <w:bottom w:w="0" w:type="dxa"/>
              <w:right w:w="100" w:type="dxa"/>
            </w:tcMar>
            <w:vAlign w:val="center"/>
          </w:tcPr>
          <w:p w14:paraId="4EC9AF0C" w14:textId="77777777" w:rsidR="000D29AB" w:rsidRDefault="00000000">
            <w:pPr>
              <w:spacing w:line="240" w:lineRule="auto"/>
              <w:jc w:val="center"/>
              <w:rPr>
                <w:rFonts w:ascii="Calibri" w:eastAsia="Calibri" w:hAnsi="Calibri" w:cs="Calibri"/>
                <w:b/>
                <w:bCs/>
                <w:highlight w:val="white"/>
              </w:rPr>
            </w:pPr>
            <w:r>
              <w:rPr>
                <w:rFonts w:ascii="Calibri" w:eastAsia="Calibri" w:hAnsi="Calibri" w:cs="Calibri"/>
                <w:b/>
                <w:bCs/>
                <w:highlight w:val="white"/>
              </w:rPr>
              <w:t>Overview</w:t>
            </w:r>
          </w:p>
        </w:tc>
        <w:tc>
          <w:tcPr>
            <w:tcW w:w="7786" w:type="dxa"/>
            <w:gridSpan w:val="3"/>
            <w:tcBorders>
              <w:top w:val="single" w:sz="12" w:space="0" w:color="222222"/>
              <w:bottom w:val="single" w:sz="8" w:space="0" w:color="222222"/>
              <w:right w:val="single" w:sz="18" w:space="0" w:color="auto"/>
            </w:tcBorders>
            <w:shd w:val="clear" w:color="auto" w:fill="FFFFFF"/>
            <w:tcMar>
              <w:top w:w="0" w:type="dxa"/>
              <w:left w:w="100" w:type="dxa"/>
              <w:bottom w:w="0" w:type="dxa"/>
              <w:right w:w="100" w:type="dxa"/>
            </w:tcMar>
          </w:tcPr>
          <w:p w14:paraId="2A4D3DD8" w14:textId="77777777" w:rsidR="000D29AB" w:rsidRDefault="00000000">
            <w:pPr>
              <w:spacing w:line="240" w:lineRule="auto"/>
              <w:rPr>
                <w:rFonts w:ascii="Calibri" w:eastAsia="Calibri" w:hAnsi="Calibri" w:cs="Calibri"/>
                <w:i/>
                <w:iCs/>
                <w:sz w:val="20"/>
                <w:szCs w:val="20"/>
                <w:highlight w:val="white"/>
              </w:rPr>
            </w:pPr>
            <w:r>
              <w:rPr>
                <w:rFonts w:ascii="Calibri" w:eastAsia="Calibri" w:hAnsi="Calibri" w:cs="Calibri"/>
                <w:i/>
                <w:iCs/>
                <w:sz w:val="20"/>
                <w:szCs w:val="20"/>
                <w:highlight w:val="white"/>
              </w:rPr>
              <w:t xml:space="preserve">The Overview part allows us to understand what the model is about and how it conceptualizes the system of interest, and it allows us to zoom into the details of its rationale and implementation. The Overview can, if too long for the </w:t>
            </w:r>
            <w:proofErr w:type="gramStart"/>
            <w:r>
              <w:rPr>
                <w:rFonts w:ascii="Calibri" w:eastAsia="Calibri" w:hAnsi="Calibri" w:cs="Calibri"/>
                <w:i/>
                <w:iCs/>
                <w:sz w:val="20"/>
                <w:szCs w:val="20"/>
                <w:highlight w:val="white"/>
              </w:rPr>
              <w:t>main</w:t>
            </w:r>
            <w:proofErr w:type="gramEnd"/>
            <w:r>
              <w:rPr>
                <w:rFonts w:ascii="Calibri" w:eastAsia="Calibri" w:hAnsi="Calibri" w:cs="Calibri"/>
                <w:i/>
                <w:iCs/>
                <w:sz w:val="20"/>
                <w:szCs w:val="20"/>
                <w:highlight w:val="white"/>
              </w:rPr>
              <w:t xml:space="preserve"> of a publication, go the </w:t>
            </w:r>
            <w:proofErr w:type="spellStart"/>
            <w:r>
              <w:rPr>
                <w:rFonts w:ascii="Calibri" w:eastAsia="Calibri" w:hAnsi="Calibri" w:cs="Calibri"/>
                <w:i/>
                <w:iCs/>
                <w:sz w:val="20"/>
                <w:szCs w:val="20"/>
                <w:highlight w:val="white"/>
              </w:rPr>
              <w:t>the</w:t>
            </w:r>
            <w:proofErr w:type="spellEnd"/>
            <w:r>
              <w:rPr>
                <w:rFonts w:ascii="Calibri" w:eastAsia="Calibri" w:hAnsi="Calibri" w:cs="Calibri"/>
                <w:i/>
                <w:iCs/>
                <w:sz w:val="20"/>
                <w:szCs w:val="20"/>
                <w:highlight w:val="white"/>
              </w:rPr>
              <w:t xml:space="preserve"> supplement and be represented by a narrative summary (Box 1)</w:t>
            </w:r>
          </w:p>
        </w:tc>
      </w:tr>
      <w:tr w:rsidR="000D29AB" w14:paraId="0792DB2F" w14:textId="77777777" w:rsidTr="005E76CE">
        <w:trPr>
          <w:trHeight w:val="840"/>
        </w:trPr>
        <w:tc>
          <w:tcPr>
            <w:tcW w:w="1283" w:type="dxa"/>
            <w:vMerge/>
            <w:tcBorders>
              <w:left w:val="single" w:sz="18" w:space="0" w:color="222222"/>
              <w:bottom w:val="single" w:sz="8" w:space="0" w:color="222222"/>
              <w:right w:val="single" w:sz="8" w:space="0" w:color="222222"/>
            </w:tcBorders>
            <w:shd w:val="clear" w:color="auto" w:fill="FFFFFF"/>
            <w:tcMar>
              <w:top w:w="0" w:type="dxa"/>
              <w:left w:w="100" w:type="dxa"/>
              <w:bottom w:w="0" w:type="dxa"/>
              <w:right w:w="100" w:type="dxa"/>
            </w:tcMar>
            <w:vAlign w:val="center"/>
          </w:tcPr>
          <w:p w14:paraId="70CBC223" w14:textId="77777777" w:rsidR="000D29AB" w:rsidRDefault="000D29AB">
            <w:pPr>
              <w:spacing w:line="240" w:lineRule="auto"/>
              <w:jc w:val="center"/>
              <w:rPr>
                <w:rFonts w:ascii="Calibri" w:eastAsia="Calibri" w:hAnsi="Calibri" w:cs="Calibri"/>
                <w:b/>
                <w:bCs/>
                <w:color w:val="FFFFFF"/>
                <w:sz w:val="20"/>
                <w:szCs w:val="20"/>
              </w:rPr>
            </w:pPr>
          </w:p>
        </w:tc>
        <w:tc>
          <w:tcPr>
            <w:tcW w:w="1521" w:type="dxa"/>
            <w:tcBorders>
              <w:bottom w:val="single" w:sz="8" w:space="0" w:color="222222"/>
              <w:right w:val="single" w:sz="8" w:space="0" w:color="222222"/>
            </w:tcBorders>
            <w:shd w:val="clear" w:color="auto" w:fill="FFFFFF"/>
            <w:tcMar>
              <w:top w:w="0" w:type="dxa"/>
              <w:left w:w="100" w:type="dxa"/>
              <w:bottom w:w="0" w:type="dxa"/>
              <w:right w:w="100" w:type="dxa"/>
            </w:tcMar>
          </w:tcPr>
          <w:p w14:paraId="53E39E3E" w14:textId="77777777" w:rsidR="000D29AB" w:rsidRDefault="00000000">
            <w:pPr>
              <w:spacing w:line="240" w:lineRule="auto"/>
              <w:rPr>
                <w:rFonts w:ascii="Calibri" w:eastAsia="Calibri" w:hAnsi="Calibri" w:cs="Calibri"/>
                <w:sz w:val="20"/>
                <w:szCs w:val="20"/>
                <w:highlight w:val="white"/>
              </w:rPr>
            </w:pPr>
            <w:r>
              <w:rPr>
                <w:rFonts w:ascii="Calibri" w:eastAsia="Calibri" w:hAnsi="Calibri" w:cs="Calibri"/>
                <w:sz w:val="20"/>
                <w:szCs w:val="20"/>
                <w:highlight w:val="white"/>
              </w:rPr>
              <w:t>1. Purpose and patterns</w:t>
            </w:r>
          </w:p>
        </w:tc>
        <w:tc>
          <w:tcPr>
            <w:tcW w:w="6265" w:type="dxa"/>
            <w:gridSpan w:val="2"/>
            <w:tcBorders>
              <w:bottom w:val="single" w:sz="8" w:space="0" w:color="222222"/>
              <w:right w:val="single" w:sz="18" w:space="0" w:color="auto"/>
            </w:tcBorders>
            <w:shd w:val="clear" w:color="auto" w:fill="FFFFFF"/>
            <w:tcMar>
              <w:top w:w="0" w:type="dxa"/>
              <w:left w:w="100" w:type="dxa"/>
              <w:bottom w:w="0" w:type="dxa"/>
              <w:right w:w="100" w:type="dxa"/>
            </w:tcMar>
          </w:tcPr>
          <w:p w14:paraId="5E3A8F28" w14:textId="77777777" w:rsidR="000D29AB" w:rsidRDefault="00000000">
            <w:pPr>
              <w:spacing w:line="240" w:lineRule="auto"/>
              <w:rPr>
                <w:rFonts w:ascii="Calibri" w:eastAsia="Calibri" w:hAnsi="Calibri" w:cs="Calibri"/>
                <w:sz w:val="20"/>
                <w:szCs w:val="20"/>
                <w:highlight w:val="white"/>
              </w:rPr>
            </w:pPr>
            <w:r>
              <w:rPr>
                <w:rFonts w:ascii="Calibri" w:eastAsia="Calibri" w:hAnsi="Calibri" w:cs="Calibri"/>
                <w:sz w:val="20"/>
                <w:szCs w:val="20"/>
                <w:highlight w:val="white"/>
              </w:rPr>
              <w:t xml:space="preserve">Explains the overall aim of the model, the research questions it addresses, and the data </w:t>
            </w:r>
            <w:proofErr w:type="gramStart"/>
            <w:r>
              <w:rPr>
                <w:rFonts w:ascii="Calibri" w:eastAsia="Calibri" w:hAnsi="Calibri" w:cs="Calibri"/>
                <w:sz w:val="20"/>
                <w:szCs w:val="20"/>
                <w:highlight w:val="white"/>
              </w:rPr>
              <w:t>or  patterns</w:t>
            </w:r>
            <w:proofErr w:type="gramEnd"/>
            <w:r>
              <w:rPr>
                <w:rFonts w:ascii="Calibri" w:eastAsia="Calibri" w:hAnsi="Calibri" w:cs="Calibri"/>
                <w:sz w:val="20"/>
                <w:szCs w:val="20"/>
                <w:highlight w:val="white"/>
              </w:rPr>
              <w:t xml:space="preserve"> observed </w:t>
            </w:r>
            <w:proofErr w:type="gramStart"/>
            <w:r>
              <w:rPr>
                <w:rFonts w:ascii="Calibri" w:eastAsia="Calibri" w:hAnsi="Calibri" w:cs="Calibri"/>
                <w:sz w:val="20"/>
                <w:szCs w:val="20"/>
                <w:highlight w:val="white"/>
              </w:rPr>
              <w:t>in reality that</w:t>
            </w:r>
            <w:proofErr w:type="gramEnd"/>
            <w:r>
              <w:rPr>
                <w:rFonts w:ascii="Calibri" w:eastAsia="Calibri" w:hAnsi="Calibri" w:cs="Calibri"/>
                <w:sz w:val="20"/>
                <w:szCs w:val="20"/>
                <w:highlight w:val="white"/>
              </w:rPr>
              <w:t xml:space="preserve"> are used to claim the model is realistic enough for its purpose.</w:t>
            </w:r>
          </w:p>
        </w:tc>
      </w:tr>
      <w:tr w:rsidR="000D29AB" w14:paraId="58F1131D" w14:textId="77777777" w:rsidTr="005E76CE">
        <w:trPr>
          <w:trHeight w:val="735"/>
        </w:trPr>
        <w:tc>
          <w:tcPr>
            <w:tcW w:w="1283" w:type="dxa"/>
            <w:vMerge/>
            <w:tcBorders>
              <w:left w:val="single" w:sz="18" w:space="0" w:color="222222"/>
              <w:bottom w:val="single" w:sz="8" w:space="0" w:color="222222"/>
              <w:right w:val="single" w:sz="8" w:space="0" w:color="222222"/>
            </w:tcBorders>
            <w:shd w:val="clear" w:color="auto" w:fill="FFFFFF"/>
            <w:tcMar>
              <w:top w:w="100" w:type="dxa"/>
              <w:left w:w="100" w:type="dxa"/>
              <w:bottom w:w="100" w:type="dxa"/>
              <w:right w:w="100" w:type="dxa"/>
            </w:tcMar>
            <w:vAlign w:val="center"/>
          </w:tcPr>
          <w:p w14:paraId="27EF51E6" w14:textId="77777777" w:rsidR="000D29AB" w:rsidRDefault="000D29AB">
            <w:pPr>
              <w:spacing w:line="240" w:lineRule="auto"/>
              <w:rPr>
                <w:rFonts w:ascii="Calibri" w:eastAsia="Calibri" w:hAnsi="Calibri" w:cs="Calibri"/>
              </w:rPr>
            </w:pPr>
          </w:p>
        </w:tc>
        <w:tc>
          <w:tcPr>
            <w:tcW w:w="1521" w:type="dxa"/>
            <w:tcBorders>
              <w:bottom w:val="single" w:sz="8" w:space="0" w:color="222222"/>
              <w:right w:val="single" w:sz="8" w:space="0" w:color="222222"/>
            </w:tcBorders>
            <w:shd w:val="clear" w:color="auto" w:fill="FFFFFF"/>
            <w:tcMar>
              <w:top w:w="0" w:type="dxa"/>
              <w:left w:w="100" w:type="dxa"/>
              <w:bottom w:w="0" w:type="dxa"/>
              <w:right w:w="100" w:type="dxa"/>
            </w:tcMar>
          </w:tcPr>
          <w:p w14:paraId="2325A465" w14:textId="77777777" w:rsidR="000D29AB" w:rsidRDefault="00000000">
            <w:pPr>
              <w:spacing w:line="240" w:lineRule="auto"/>
              <w:rPr>
                <w:rFonts w:ascii="Calibri" w:eastAsia="Calibri" w:hAnsi="Calibri" w:cs="Calibri"/>
                <w:sz w:val="20"/>
                <w:szCs w:val="20"/>
                <w:highlight w:val="white"/>
              </w:rPr>
            </w:pPr>
            <w:r>
              <w:rPr>
                <w:rFonts w:ascii="Calibri" w:eastAsia="Calibri" w:hAnsi="Calibri" w:cs="Calibri"/>
                <w:sz w:val="20"/>
                <w:szCs w:val="20"/>
                <w:highlight w:val="white"/>
              </w:rPr>
              <w:t>2. Entities, state variables, and scales</w:t>
            </w:r>
          </w:p>
        </w:tc>
        <w:tc>
          <w:tcPr>
            <w:tcW w:w="6265" w:type="dxa"/>
            <w:gridSpan w:val="2"/>
            <w:tcBorders>
              <w:bottom w:val="single" w:sz="8" w:space="0" w:color="222222"/>
              <w:right w:val="single" w:sz="18" w:space="0" w:color="auto"/>
            </w:tcBorders>
            <w:shd w:val="clear" w:color="auto" w:fill="FFFFFF"/>
            <w:tcMar>
              <w:top w:w="0" w:type="dxa"/>
              <w:left w:w="100" w:type="dxa"/>
              <w:bottom w:w="0" w:type="dxa"/>
              <w:right w:w="100" w:type="dxa"/>
            </w:tcMar>
          </w:tcPr>
          <w:p w14:paraId="7620873D" w14:textId="77777777" w:rsidR="000D29AB" w:rsidRDefault="00000000">
            <w:pPr>
              <w:spacing w:line="240" w:lineRule="auto"/>
              <w:rPr>
                <w:rFonts w:ascii="Calibri" w:eastAsia="Calibri" w:hAnsi="Calibri" w:cs="Calibri"/>
                <w:sz w:val="20"/>
                <w:szCs w:val="20"/>
                <w:highlight w:val="white"/>
              </w:rPr>
            </w:pPr>
            <w:proofErr w:type="gramStart"/>
            <w:r>
              <w:rPr>
                <w:rFonts w:ascii="Calibri" w:eastAsia="Calibri" w:hAnsi="Calibri" w:cs="Calibri"/>
                <w:sz w:val="20"/>
                <w:szCs w:val="20"/>
                <w:highlight w:val="white"/>
              </w:rPr>
              <w:t>Describes</w:t>
            </w:r>
            <w:proofErr w:type="gramEnd"/>
            <w:r>
              <w:rPr>
                <w:rFonts w:ascii="Calibri" w:eastAsia="Calibri" w:hAnsi="Calibri" w:cs="Calibri"/>
                <w:sz w:val="20"/>
                <w:szCs w:val="20"/>
                <w:highlight w:val="white"/>
              </w:rPr>
              <w:t xml:space="preserve"> the entities comprising the model world, their state variables or attributes, and the spatial and temporal scales of the model.</w:t>
            </w:r>
          </w:p>
        </w:tc>
      </w:tr>
      <w:tr w:rsidR="000D29AB" w14:paraId="5D25DAFE" w14:textId="77777777" w:rsidTr="005E76CE">
        <w:trPr>
          <w:trHeight w:val="975"/>
        </w:trPr>
        <w:tc>
          <w:tcPr>
            <w:tcW w:w="1283" w:type="dxa"/>
            <w:vMerge/>
            <w:tcBorders>
              <w:left w:val="single" w:sz="18" w:space="0" w:color="222222"/>
              <w:bottom w:val="single" w:sz="12" w:space="0" w:color="auto"/>
              <w:right w:val="single" w:sz="8" w:space="0" w:color="222222"/>
            </w:tcBorders>
            <w:shd w:val="clear" w:color="auto" w:fill="FFFFFF"/>
            <w:tcMar>
              <w:top w:w="100" w:type="dxa"/>
              <w:left w:w="100" w:type="dxa"/>
              <w:bottom w:w="100" w:type="dxa"/>
              <w:right w:w="100" w:type="dxa"/>
            </w:tcMar>
            <w:vAlign w:val="center"/>
          </w:tcPr>
          <w:p w14:paraId="3377255D" w14:textId="77777777" w:rsidR="000D29AB" w:rsidRDefault="000D29AB">
            <w:pPr>
              <w:spacing w:line="240" w:lineRule="auto"/>
              <w:rPr>
                <w:rFonts w:ascii="Calibri" w:eastAsia="Calibri" w:hAnsi="Calibri" w:cs="Calibri"/>
              </w:rPr>
            </w:pPr>
          </w:p>
        </w:tc>
        <w:tc>
          <w:tcPr>
            <w:tcW w:w="1521" w:type="dxa"/>
            <w:tcBorders>
              <w:bottom w:val="single" w:sz="12" w:space="0" w:color="auto"/>
              <w:right w:val="single" w:sz="8" w:space="0" w:color="222222"/>
            </w:tcBorders>
            <w:shd w:val="clear" w:color="auto" w:fill="FFFFFF"/>
            <w:tcMar>
              <w:top w:w="0" w:type="dxa"/>
              <w:left w:w="100" w:type="dxa"/>
              <w:bottom w:w="0" w:type="dxa"/>
              <w:right w:w="100" w:type="dxa"/>
            </w:tcMar>
          </w:tcPr>
          <w:p w14:paraId="7CE134DA" w14:textId="77777777" w:rsidR="000D29AB" w:rsidRDefault="00000000">
            <w:pPr>
              <w:spacing w:line="240" w:lineRule="auto"/>
              <w:rPr>
                <w:rFonts w:ascii="Calibri" w:eastAsia="Calibri" w:hAnsi="Calibri" w:cs="Calibri"/>
                <w:sz w:val="20"/>
                <w:szCs w:val="20"/>
                <w:highlight w:val="white"/>
              </w:rPr>
            </w:pPr>
            <w:r>
              <w:rPr>
                <w:rFonts w:ascii="Calibri" w:eastAsia="Calibri" w:hAnsi="Calibri" w:cs="Calibri"/>
                <w:sz w:val="20"/>
                <w:szCs w:val="20"/>
                <w:highlight w:val="white"/>
              </w:rPr>
              <w:t>3. Process overview and scheduling</w:t>
            </w:r>
          </w:p>
        </w:tc>
        <w:tc>
          <w:tcPr>
            <w:tcW w:w="6265" w:type="dxa"/>
            <w:gridSpan w:val="2"/>
            <w:tcBorders>
              <w:bottom w:val="single" w:sz="12" w:space="0" w:color="auto"/>
              <w:right w:val="single" w:sz="18" w:space="0" w:color="auto"/>
            </w:tcBorders>
            <w:shd w:val="clear" w:color="auto" w:fill="FFFFFF"/>
            <w:tcMar>
              <w:top w:w="0" w:type="dxa"/>
              <w:left w:w="100" w:type="dxa"/>
              <w:bottom w:w="0" w:type="dxa"/>
              <w:right w:w="100" w:type="dxa"/>
            </w:tcMar>
          </w:tcPr>
          <w:p w14:paraId="66B587C1" w14:textId="77777777" w:rsidR="000D29AB" w:rsidRDefault="00000000">
            <w:pPr>
              <w:spacing w:line="240" w:lineRule="auto"/>
              <w:rPr>
                <w:rFonts w:ascii="Calibri" w:eastAsia="Calibri" w:hAnsi="Calibri" w:cs="Calibri"/>
                <w:sz w:val="20"/>
                <w:szCs w:val="20"/>
                <w:highlight w:val="white"/>
              </w:rPr>
            </w:pPr>
            <w:r>
              <w:rPr>
                <w:rFonts w:ascii="Calibri" w:eastAsia="Calibri" w:hAnsi="Calibri" w:cs="Calibri"/>
                <w:sz w:val="20"/>
                <w:szCs w:val="20"/>
                <w:highlight w:val="white"/>
              </w:rPr>
              <w:t xml:space="preserve">Outlines the processes in the model and how they are scheduled within the model’s time step. They could be represented by a set of coupled equations, or by a sequence of </w:t>
            </w:r>
            <w:proofErr w:type="spellStart"/>
            <w:r>
              <w:rPr>
                <w:rFonts w:ascii="Calibri" w:eastAsia="Calibri" w:hAnsi="Calibri" w:cs="Calibri"/>
                <w:sz w:val="20"/>
                <w:szCs w:val="20"/>
                <w:highlight w:val="white"/>
              </w:rPr>
              <w:t>submodels</w:t>
            </w:r>
            <w:proofErr w:type="spellEnd"/>
            <w:r>
              <w:rPr>
                <w:rFonts w:ascii="Calibri" w:eastAsia="Calibri" w:hAnsi="Calibri" w:cs="Calibri"/>
                <w:sz w:val="20"/>
                <w:szCs w:val="20"/>
                <w:highlight w:val="white"/>
              </w:rPr>
              <w:t xml:space="preserve"> that are scheduled according to a certain algorithm.</w:t>
            </w:r>
          </w:p>
        </w:tc>
      </w:tr>
      <w:tr w:rsidR="000D29AB" w14:paraId="1636EB8A" w14:textId="77777777" w:rsidTr="005E76CE">
        <w:trPr>
          <w:trHeight w:val="630"/>
        </w:trPr>
        <w:tc>
          <w:tcPr>
            <w:tcW w:w="1283" w:type="dxa"/>
            <w:vMerge w:val="restart"/>
            <w:tcBorders>
              <w:top w:val="single" w:sz="12" w:space="0" w:color="auto"/>
              <w:left w:val="single" w:sz="18" w:space="0" w:color="222222"/>
              <w:bottom w:val="single" w:sz="8" w:space="0" w:color="222222"/>
              <w:right w:val="single" w:sz="8" w:space="0" w:color="222222"/>
            </w:tcBorders>
            <w:shd w:val="clear" w:color="auto" w:fill="FFFFFF"/>
            <w:tcMar>
              <w:top w:w="0" w:type="dxa"/>
              <w:bottom w:w="0" w:type="dxa"/>
            </w:tcMar>
            <w:vAlign w:val="center"/>
          </w:tcPr>
          <w:p w14:paraId="104F20FC" w14:textId="77777777" w:rsidR="000D29AB" w:rsidRDefault="00000000">
            <w:pPr>
              <w:spacing w:after="240" w:line="240" w:lineRule="auto"/>
              <w:jc w:val="center"/>
              <w:rPr>
                <w:rFonts w:ascii="Calibri" w:eastAsia="Calibri" w:hAnsi="Calibri" w:cs="Calibri"/>
                <w:b/>
                <w:bCs/>
                <w:highlight w:val="white"/>
              </w:rPr>
            </w:pPr>
            <w:r>
              <w:rPr>
                <w:rFonts w:ascii="Calibri" w:eastAsia="Calibri" w:hAnsi="Calibri" w:cs="Calibri"/>
                <w:b/>
                <w:bCs/>
                <w:highlight w:val="white"/>
              </w:rPr>
              <w:t>Design Concepts</w:t>
            </w:r>
          </w:p>
        </w:tc>
        <w:tc>
          <w:tcPr>
            <w:tcW w:w="7786" w:type="dxa"/>
            <w:gridSpan w:val="3"/>
            <w:tcBorders>
              <w:top w:val="single" w:sz="12" w:space="0" w:color="auto"/>
              <w:bottom w:val="single" w:sz="8" w:space="0" w:color="222222"/>
              <w:right w:val="single" w:sz="18" w:space="0" w:color="auto"/>
            </w:tcBorders>
            <w:shd w:val="clear" w:color="auto" w:fill="FFFFFF"/>
            <w:tcMar>
              <w:top w:w="0" w:type="dxa"/>
              <w:left w:w="100" w:type="dxa"/>
              <w:bottom w:w="0" w:type="dxa"/>
              <w:right w:w="100" w:type="dxa"/>
            </w:tcMar>
          </w:tcPr>
          <w:p w14:paraId="46B12DCD" w14:textId="77777777" w:rsidR="000D29AB" w:rsidRDefault="00000000">
            <w:pPr>
              <w:spacing w:line="240" w:lineRule="auto"/>
              <w:rPr>
                <w:rFonts w:ascii="Calibri" w:eastAsia="Calibri" w:hAnsi="Calibri" w:cs="Calibri"/>
                <w:i/>
                <w:iCs/>
                <w:sz w:val="20"/>
                <w:szCs w:val="20"/>
                <w:highlight w:val="white"/>
              </w:rPr>
            </w:pPr>
            <w:r>
              <w:rPr>
                <w:rFonts w:ascii="Calibri" w:eastAsia="Calibri" w:hAnsi="Calibri" w:cs="Calibri"/>
                <w:i/>
                <w:iCs/>
                <w:sz w:val="20"/>
                <w:szCs w:val="20"/>
                <w:highlight w:val="white"/>
              </w:rPr>
              <w:t xml:space="preserve">They describe important concepts, methods or approaches that </w:t>
            </w:r>
            <w:proofErr w:type="gramStart"/>
            <w:r>
              <w:rPr>
                <w:rFonts w:ascii="Calibri" w:eastAsia="Calibri" w:hAnsi="Calibri" w:cs="Calibri"/>
                <w:i/>
                <w:iCs/>
                <w:sz w:val="20"/>
                <w:szCs w:val="20"/>
                <w:highlight w:val="white"/>
              </w:rPr>
              <w:t>underlie</w:t>
            </w:r>
            <w:proofErr w:type="gramEnd"/>
            <w:r>
              <w:rPr>
                <w:rFonts w:ascii="Calibri" w:eastAsia="Calibri" w:hAnsi="Calibri" w:cs="Calibri"/>
                <w:i/>
                <w:iCs/>
                <w:sz w:val="20"/>
                <w:szCs w:val="20"/>
                <w:highlight w:val="white"/>
              </w:rPr>
              <w:t xml:space="preserve"> the model’s design. The approaches could include the programming language, software, or numerical solvers being used. For agent-based models there are ten concepts, here we list only those of </w:t>
            </w:r>
            <w:proofErr w:type="gramStart"/>
            <w:r>
              <w:rPr>
                <w:rFonts w:ascii="Calibri" w:eastAsia="Calibri" w:hAnsi="Calibri" w:cs="Calibri"/>
                <w:i/>
                <w:iCs/>
                <w:sz w:val="20"/>
                <w:szCs w:val="20"/>
                <w:highlight w:val="white"/>
              </w:rPr>
              <w:t>them  which</w:t>
            </w:r>
            <w:proofErr w:type="gramEnd"/>
            <w:r>
              <w:rPr>
                <w:rFonts w:ascii="Calibri" w:eastAsia="Calibri" w:hAnsi="Calibri" w:cs="Calibri"/>
                <w:i/>
                <w:iCs/>
                <w:sz w:val="20"/>
                <w:szCs w:val="20"/>
                <w:highlight w:val="white"/>
              </w:rPr>
              <w:t xml:space="preserve"> are likely to be relevant for most model types.</w:t>
            </w:r>
          </w:p>
        </w:tc>
      </w:tr>
      <w:tr w:rsidR="000D29AB" w14:paraId="351B1CAD" w14:textId="77777777" w:rsidTr="005E76CE">
        <w:trPr>
          <w:trHeight w:val="630"/>
        </w:trPr>
        <w:tc>
          <w:tcPr>
            <w:tcW w:w="1283" w:type="dxa"/>
            <w:vMerge/>
            <w:tcBorders>
              <w:top w:val="single" w:sz="8" w:space="0" w:color="222222"/>
              <w:left w:val="single" w:sz="18" w:space="0" w:color="222222"/>
              <w:bottom w:val="single" w:sz="8" w:space="0" w:color="222222"/>
              <w:right w:val="single" w:sz="8" w:space="0" w:color="222222"/>
            </w:tcBorders>
            <w:shd w:val="clear" w:color="auto" w:fill="FFFFFF"/>
            <w:tcMar>
              <w:top w:w="0" w:type="dxa"/>
              <w:bottom w:w="0" w:type="dxa"/>
            </w:tcMar>
            <w:vAlign w:val="center"/>
          </w:tcPr>
          <w:p w14:paraId="53F6CD58" w14:textId="77777777" w:rsidR="000D29AB" w:rsidRDefault="000D29AB">
            <w:pPr>
              <w:spacing w:line="240" w:lineRule="auto"/>
              <w:jc w:val="center"/>
              <w:rPr>
                <w:rFonts w:ascii="Calibri" w:eastAsia="Calibri" w:hAnsi="Calibri" w:cs="Calibri"/>
                <w:b/>
                <w:bCs/>
                <w:color w:val="FFFFFF"/>
                <w:sz w:val="24"/>
                <w:szCs w:val="24"/>
              </w:rPr>
            </w:pPr>
          </w:p>
        </w:tc>
        <w:tc>
          <w:tcPr>
            <w:tcW w:w="1521" w:type="dxa"/>
            <w:vMerge w:val="restart"/>
            <w:tcBorders>
              <w:top w:val="single" w:sz="8" w:space="0" w:color="222222"/>
              <w:left w:val="single" w:sz="8" w:space="0" w:color="222222"/>
              <w:bottom w:val="single" w:sz="8" w:space="0" w:color="222222"/>
              <w:right w:val="single" w:sz="8" w:space="0" w:color="222222"/>
            </w:tcBorders>
            <w:shd w:val="clear" w:color="auto" w:fill="FFFFFF"/>
            <w:tcMar>
              <w:top w:w="0" w:type="dxa"/>
              <w:bottom w:w="0" w:type="dxa"/>
            </w:tcMar>
          </w:tcPr>
          <w:p w14:paraId="3E309C5C" w14:textId="77777777" w:rsidR="000D29AB" w:rsidRDefault="00000000">
            <w:pPr>
              <w:spacing w:line="240" w:lineRule="auto"/>
              <w:rPr>
                <w:rFonts w:ascii="Calibri" w:eastAsia="Calibri" w:hAnsi="Calibri" w:cs="Calibri"/>
                <w:sz w:val="20"/>
                <w:szCs w:val="20"/>
                <w:highlight w:val="white"/>
              </w:rPr>
            </w:pPr>
            <w:r>
              <w:rPr>
                <w:rFonts w:ascii="Calibri" w:eastAsia="Calibri" w:hAnsi="Calibri" w:cs="Calibri"/>
                <w:sz w:val="20"/>
                <w:szCs w:val="20"/>
                <w:highlight w:val="white"/>
              </w:rPr>
              <w:t xml:space="preserve"> </w:t>
            </w:r>
          </w:p>
          <w:p w14:paraId="69EB44C5" w14:textId="77777777" w:rsidR="000D29AB" w:rsidRDefault="00000000">
            <w:pPr>
              <w:spacing w:line="240" w:lineRule="auto"/>
              <w:rPr>
                <w:rFonts w:ascii="Calibri" w:eastAsia="Calibri" w:hAnsi="Calibri" w:cs="Calibri"/>
                <w:sz w:val="20"/>
                <w:szCs w:val="20"/>
                <w:highlight w:val="white"/>
              </w:rPr>
            </w:pPr>
            <w:r>
              <w:rPr>
                <w:rFonts w:ascii="Calibri" w:eastAsia="Calibri" w:hAnsi="Calibri" w:cs="Calibri"/>
                <w:sz w:val="20"/>
                <w:szCs w:val="20"/>
                <w:highlight w:val="white"/>
              </w:rPr>
              <w:t xml:space="preserve"> </w:t>
            </w:r>
          </w:p>
          <w:p w14:paraId="01BA211F" w14:textId="77777777" w:rsidR="000D29AB" w:rsidRDefault="00000000">
            <w:pPr>
              <w:spacing w:line="240" w:lineRule="auto"/>
              <w:rPr>
                <w:rFonts w:ascii="Calibri" w:eastAsia="Calibri" w:hAnsi="Calibri" w:cs="Calibri"/>
                <w:sz w:val="20"/>
                <w:szCs w:val="20"/>
                <w:highlight w:val="white"/>
              </w:rPr>
            </w:pPr>
            <w:r>
              <w:rPr>
                <w:rFonts w:ascii="Calibri" w:eastAsia="Calibri" w:hAnsi="Calibri" w:cs="Calibri"/>
                <w:sz w:val="20"/>
                <w:szCs w:val="20"/>
                <w:highlight w:val="white"/>
              </w:rPr>
              <w:t xml:space="preserve"> </w:t>
            </w:r>
          </w:p>
          <w:p w14:paraId="5C9556C9" w14:textId="77777777" w:rsidR="000D29AB" w:rsidRDefault="00000000">
            <w:pPr>
              <w:spacing w:line="240" w:lineRule="auto"/>
              <w:rPr>
                <w:rFonts w:ascii="Calibri" w:eastAsia="Calibri" w:hAnsi="Calibri" w:cs="Calibri"/>
                <w:sz w:val="20"/>
                <w:szCs w:val="20"/>
                <w:highlight w:val="white"/>
              </w:rPr>
            </w:pPr>
            <w:r>
              <w:rPr>
                <w:rFonts w:ascii="Calibri" w:eastAsia="Calibri" w:hAnsi="Calibri" w:cs="Calibri"/>
                <w:sz w:val="20"/>
                <w:szCs w:val="20"/>
                <w:highlight w:val="white"/>
              </w:rPr>
              <w:t xml:space="preserve"> 4. Design concepts</w:t>
            </w:r>
          </w:p>
        </w:tc>
        <w:tc>
          <w:tcPr>
            <w:tcW w:w="1700" w:type="dxa"/>
            <w:tcBorders>
              <w:bottom w:val="single" w:sz="8" w:space="0" w:color="222222"/>
              <w:right w:val="single" w:sz="8" w:space="0" w:color="222222"/>
            </w:tcBorders>
            <w:shd w:val="clear" w:color="auto" w:fill="FFFFFF"/>
            <w:tcMar>
              <w:top w:w="0" w:type="dxa"/>
              <w:left w:w="100" w:type="dxa"/>
              <w:bottom w:w="0" w:type="dxa"/>
              <w:right w:w="100" w:type="dxa"/>
            </w:tcMar>
          </w:tcPr>
          <w:p w14:paraId="682F4386" w14:textId="77777777" w:rsidR="000D29AB" w:rsidRDefault="00000000">
            <w:pPr>
              <w:spacing w:line="240" w:lineRule="auto"/>
              <w:rPr>
                <w:rFonts w:ascii="Calibri" w:eastAsia="Calibri" w:hAnsi="Calibri" w:cs="Calibri"/>
                <w:sz w:val="20"/>
                <w:szCs w:val="20"/>
                <w:highlight w:val="white"/>
              </w:rPr>
            </w:pPr>
            <w:r>
              <w:rPr>
                <w:rFonts w:ascii="Calibri" w:eastAsia="Calibri" w:hAnsi="Calibri" w:cs="Calibri"/>
                <w:sz w:val="20"/>
                <w:szCs w:val="20"/>
                <w:highlight w:val="white"/>
              </w:rPr>
              <w:t>Basic</w:t>
            </w:r>
          </w:p>
          <w:p w14:paraId="783E48BD" w14:textId="77777777" w:rsidR="000D29AB" w:rsidRDefault="00000000">
            <w:pPr>
              <w:spacing w:line="240" w:lineRule="auto"/>
              <w:rPr>
                <w:rFonts w:ascii="Calibri" w:eastAsia="Calibri" w:hAnsi="Calibri" w:cs="Calibri"/>
                <w:sz w:val="20"/>
                <w:szCs w:val="20"/>
                <w:highlight w:val="white"/>
              </w:rPr>
            </w:pPr>
            <w:r>
              <w:rPr>
                <w:rFonts w:ascii="Calibri" w:eastAsia="Calibri" w:hAnsi="Calibri" w:cs="Calibri"/>
                <w:sz w:val="20"/>
                <w:szCs w:val="20"/>
                <w:highlight w:val="white"/>
              </w:rPr>
              <w:t>principles</w:t>
            </w:r>
          </w:p>
        </w:tc>
        <w:tc>
          <w:tcPr>
            <w:tcW w:w="4565" w:type="dxa"/>
            <w:tcBorders>
              <w:bottom w:val="single" w:sz="8" w:space="0" w:color="222222"/>
              <w:right w:val="single" w:sz="18" w:space="0" w:color="auto"/>
            </w:tcBorders>
            <w:shd w:val="clear" w:color="auto" w:fill="FFFFFF"/>
            <w:tcMar>
              <w:top w:w="0" w:type="dxa"/>
              <w:left w:w="100" w:type="dxa"/>
              <w:bottom w:w="0" w:type="dxa"/>
              <w:right w:w="100" w:type="dxa"/>
            </w:tcMar>
          </w:tcPr>
          <w:p w14:paraId="08796B6E" w14:textId="77777777" w:rsidR="000D29AB" w:rsidRDefault="00000000">
            <w:pPr>
              <w:spacing w:line="240" w:lineRule="auto"/>
              <w:rPr>
                <w:rFonts w:ascii="Calibri" w:eastAsia="Calibri" w:hAnsi="Calibri" w:cs="Calibri"/>
                <w:sz w:val="20"/>
                <w:szCs w:val="20"/>
              </w:rPr>
            </w:pPr>
            <w:r>
              <w:rPr>
                <w:rFonts w:ascii="Calibri" w:eastAsia="Calibri" w:hAnsi="Calibri" w:cs="Calibri"/>
                <w:sz w:val="20"/>
                <w:szCs w:val="20"/>
              </w:rPr>
              <w:t>Describes the theoretical and empirical foundations underlying the model.</w:t>
            </w:r>
          </w:p>
        </w:tc>
      </w:tr>
      <w:tr w:rsidR="000D29AB" w14:paraId="504EA4CE" w14:textId="77777777" w:rsidTr="005E76CE">
        <w:trPr>
          <w:trHeight w:val="600"/>
        </w:trPr>
        <w:tc>
          <w:tcPr>
            <w:tcW w:w="1283" w:type="dxa"/>
            <w:vMerge/>
            <w:tcBorders>
              <w:left w:val="single" w:sz="18" w:space="0" w:color="222222"/>
              <w:bottom w:val="single" w:sz="8" w:space="0" w:color="222222"/>
              <w:right w:val="single" w:sz="8" w:space="0" w:color="222222"/>
            </w:tcBorders>
            <w:shd w:val="clear" w:color="auto" w:fill="FFFFFF"/>
            <w:tcMar>
              <w:top w:w="100" w:type="dxa"/>
              <w:left w:w="100" w:type="dxa"/>
              <w:bottom w:w="100" w:type="dxa"/>
              <w:right w:w="100" w:type="dxa"/>
            </w:tcMar>
            <w:vAlign w:val="center"/>
          </w:tcPr>
          <w:p w14:paraId="6C27D7C9" w14:textId="77777777" w:rsidR="000D29AB" w:rsidRDefault="000D29AB">
            <w:pPr>
              <w:spacing w:line="240" w:lineRule="auto"/>
              <w:rPr>
                <w:rFonts w:ascii="Calibri" w:eastAsia="Calibri" w:hAnsi="Calibri" w:cs="Calibri"/>
              </w:rPr>
            </w:pPr>
          </w:p>
        </w:tc>
        <w:tc>
          <w:tcPr>
            <w:tcW w:w="1521" w:type="dxa"/>
            <w:vMerge/>
            <w:tcBorders>
              <w:bottom w:val="single" w:sz="8" w:space="0" w:color="222222"/>
              <w:right w:val="single" w:sz="8" w:space="0" w:color="222222"/>
            </w:tcBorders>
            <w:shd w:val="clear" w:color="auto" w:fill="FFFFFF"/>
            <w:tcMar>
              <w:top w:w="100" w:type="dxa"/>
              <w:left w:w="100" w:type="dxa"/>
              <w:bottom w:w="100" w:type="dxa"/>
              <w:right w:w="100" w:type="dxa"/>
            </w:tcMar>
          </w:tcPr>
          <w:p w14:paraId="4F8E2A09" w14:textId="77777777" w:rsidR="000D29AB" w:rsidRDefault="000D29AB">
            <w:pPr>
              <w:spacing w:after="160" w:line="259" w:lineRule="auto"/>
              <w:rPr>
                <w:rFonts w:ascii="Calibri" w:eastAsia="Calibri" w:hAnsi="Calibri" w:cs="Calibri"/>
              </w:rPr>
            </w:pPr>
          </w:p>
        </w:tc>
        <w:tc>
          <w:tcPr>
            <w:tcW w:w="1700" w:type="dxa"/>
            <w:tcBorders>
              <w:bottom w:val="single" w:sz="8" w:space="0" w:color="222222"/>
              <w:right w:val="single" w:sz="8" w:space="0" w:color="222222"/>
            </w:tcBorders>
            <w:shd w:val="clear" w:color="auto" w:fill="FFFFFF"/>
            <w:tcMar>
              <w:top w:w="0" w:type="dxa"/>
              <w:left w:w="100" w:type="dxa"/>
              <w:bottom w:w="0" w:type="dxa"/>
              <w:right w:w="100" w:type="dxa"/>
            </w:tcMar>
          </w:tcPr>
          <w:p w14:paraId="1BEF8A64" w14:textId="77777777" w:rsidR="000D29AB" w:rsidRDefault="00000000">
            <w:pPr>
              <w:spacing w:line="240" w:lineRule="auto"/>
              <w:rPr>
                <w:rFonts w:ascii="Calibri" w:eastAsia="Calibri" w:hAnsi="Calibri" w:cs="Calibri"/>
                <w:sz w:val="20"/>
                <w:szCs w:val="20"/>
                <w:highlight w:val="white"/>
              </w:rPr>
            </w:pPr>
            <w:r>
              <w:rPr>
                <w:rFonts w:ascii="Calibri" w:eastAsia="Calibri" w:hAnsi="Calibri" w:cs="Calibri"/>
                <w:sz w:val="20"/>
                <w:szCs w:val="20"/>
                <w:highlight w:val="white"/>
              </w:rPr>
              <w:t>Stochasticity</w:t>
            </w:r>
          </w:p>
        </w:tc>
        <w:tc>
          <w:tcPr>
            <w:tcW w:w="4565" w:type="dxa"/>
            <w:tcBorders>
              <w:bottom w:val="single" w:sz="8" w:space="0" w:color="222222"/>
              <w:right w:val="single" w:sz="18" w:space="0" w:color="auto"/>
            </w:tcBorders>
            <w:shd w:val="clear" w:color="auto" w:fill="FFFFFF"/>
            <w:tcMar>
              <w:top w:w="0" w:type="dxa"/>
              <w:left w:w="100" w:type="dxa"/>
              <w:bottom w:w="0" w:type="dxa"/>
              <w:right w:w="100" w:type="dxa"/>
            </w:tcMar>
          </w:tcPr>
          <w:p w14:paraId="4F9CE01D" w14:textId="77777777" w:rsidR="000D29AB" w:rsidRDefault="00000000">
            <w:pPr>
              <w:spacing w:line="240" w:lineRule="auto"/>
              <w:rPr>
                <w:rFonts w:ascii="Calibri" w:eastAsia="Calibri" w:hAnsi="Calibri" w:cs="Calibri"/>
                <w:sz w:val="20"/>
                <w:szCs w:val="20"/>
              </w:rPr>
            </w:pPr>
            <w:r>
              <w:rPr>
                <w:rFonts w:ascii="Calibri" w:eastAsia="Calibri" w:hAnsi="Calibri" w:cs="Calibri"/>
                <w:sz w:val="20"/>
                <w:szCs w:val="20"/>
              </w:rPr>
              <w:t>Explains the role of randomness in the model’s processes.</w:t>
            </w:r>
          </w:p>
        </w:tc>
      </w:tr>
      <w:tr w:rsidR="000D29AB" w14:paraId="47658CA0" w14:textId="77777777" w:rsidTr="005E76CE">
        <w:trPr>
          <w:trHeight w:val="630"/>
        </w:trPr>
        <w:tc>
          <w:tcPr>
            <w:tcW w:w="1283" w:type="dxa"/>
            <w:vMerge/>
            <w:tcBorders>
              <w:left w:val="single" w:sz="18" w:space="0" w:color="222222"/>
              <w:bottom w:val="single" w:sz="12" w:space="0" w:color="222222"/>
              <w:right w:val="single" w:sz="8" w:space="0" w:color="222222"/>
            </w:tcBorders>
            <w:shd w:val="clear" w:color="auto" w:fill="FFFFFF"/>
            <w:tcMar>
              <w:top w:w="100" w:type="dxa"/>
              <w:left w:w="100" w:type="dxa"/>
              <w:bottom w:w="100" w:type="dxa"/>
              <w:right w:w="100" w:type="dxa"/>
            </w:tcMar>
            <w:vAlign w:val="center"/>
          </w:tcPr>
          <w:p w14:paraId="74155EBB" w14:textId="77777777" w:rsidR="000D29AB" w:rsidRDefault="000D29AB">
            <w:pPr>
              <w:spacing w:line="240" w:lineRule="auto"/>
              <w:rPr>
                <w:rFonts w:ascii="Calibri" w:eastAsia="Calibri" w:hAnsi="Calibri" w:cs="Calibri"/>
              </w:rPr>
            </w:pPr>
          </w:p>
        </w:tc>
        <w:tc>
          <w:tcPr>
            <w:tcW w:w="1521" w:type="dxa"/>
            <w:vMerge/>
            <w:tcBorders>
              <w:bottom w:val="single" w:sz="12" w:space="0" w:color="222222"/>
              <w:right w:val="single" w:sz="8" w:space="0" w:color="222222"/>
            </w:tcBorders>
            <w:shd w:val="clear" w:color="auto" w:fill="FFFFFF"/>
            <w:tcMar>
              <w:top w:w="100" w:type="dxa"/>
              <w:left w:w="100" w:type="dxa"/>
              <w:bottom w:w="100" w:type="dxa"/>
              <w:right w:w="100" w:type="dxa"/>
            </w:tcMar>
          </w:tcPr>
          <w:p w14:paraId="72E01B59" w14:textId="77777777" w:rsidR="000D29AB" w:rsidRDefault="000D29AB">
            <w:pPr>
              <w:spacing w:after="160" w:line="259" w:lineRule="auto"/>
              <w:rPr>
                <w:rFonts w:ascii="Calibri" w:eastAsia="Calibri" w:hAnsi="Calibri" w:cs="Calibri"/>
              </w:rPr>
            </w:pPr>
          </w:p>
        </w:tc>
        <w:tc>
          <w:tcPr>
            <w:tcW w:w="1700" w:type="dxa"/>
            <w:tcBorders>
              <w:bottom w:val="single" w:sz="12" w:space="0" w:color="222222"/>
              <w:right w:val="single" w:sz="8" w:space="0" w:color="222222"/>
            </w:tcBorders>
            <w:shd w:val="clear" w:color="auto" w:fill="FFFFFF"/>
            <w:tcMar>
              <w:top w:w="0" w:type="dxa"/>
              <w:left w:w="100" w:type="dxa"/>
              <w:bottom w:w="0" w:type="dxa"/>
              <w:right w:w="100" w:type="dxa"/>
            </w:tcMar>
          </w:tcPr>
          <w:p w14:paraId="1A86296F" w14:textId="77777777" w:rsidR="000D29AB" w:rsidRDefault="00000000">
            <w:pPr>
              <w:spacing w:line="240" w:lineRule="auto"/>
              <w:rPr>
                <w:rFonts w:ascii="Calibri" w:eastAsia="Calibri" w:hAnsi="Calibri" w:cs="Calibri"/>
                <w:sz w:val="20"/>
                <w:szCs w:val="20"/>
                <w:highlight w:val="white"/>
              </w:rPr>
            </w:pPr>
            <w:r>
              <w:rPr>
                <w:rFonts w:ascii="Calibri" w:eastAsia="Calibri" w:hAnsi="Calibri" w:cs="Calibri"/>
                <w:sz w:val="20"/>
                <w:szCs w:val="20"/>
                <w:highlight w:val="white"/>
              </w:rPr>
              <w:t>Observation</w:t>
            </w:r>
          </w:p>
        </w:tc>
        <w:tc>
          <w:tcPr>
            <w:tcW w:w="4565" w:type="dxa"/>
            <w:tcBorders>
              <w:bottom w:val="single" w:sz="12" w:space="0" w:color="222222"/>
              <w:right w:val="single" w:sz="18" w:space="0" w:color="auto"/>
            </w:tcBorders>
            <w:shd w:val="clear" w:color="auto" w:fill="FFFFFF"/>
            <w:tcMar>
              <w:top w:w="0" w:type="dxa"/>
              <w:left w:w="100" w:type="dxa"/>
              <w:bottom w:w="0" w:type="dxa"/>
              <w:right w:w="100" w:type="dxa"/>
            </w:tcMar>
          </w:tcPr>
          <w:p w14:paraId="27F043CB" w14:textId="77777777" w:rsidR="000D29AB" w:rsidRDefault="00000000">
            <w:pPr>
              <w:spacing w:line="240" w:lineRule="auto"/>
              <w:rPr>
                <w:rFonts w:ascii="Calibri" w:eastAsia="Calibri" w:hAnsi="Calibri" w:cs="Calibri"/>
                <w:sz w:val="20"/>
                <w:szCs w:val="20"/>
              </w:rPr>
            </w:pPr>
            <w:r>
              <w:rPr>
                <w:rFonts w:ascii="Calibri" w:eastAsia="Calibri" w:hAnsi="Calibri" w:cs="Calibri"/>
                <w:sz w:val="20"/>
                <w:szCs w:val="20"/>
              </w:rPr>
              <w:t>Specifies what data are recorded from the model and how outputs are measured.</w:t>
            </w:r>
          </w:p>
        </w:tc>
      </w:tr>
      <w:tr w:rsidR="000D29AB" w14:paraId="76A1BF56" w14:textId="77777777" w:rsidTr="005E76CE">
        <w:trPr>
          <w:trHeight w:val="600"/>
        </w:trPr>
        <w:tc>
          <w:tcPr>
            <w:tcW w:w="1283" w:type="dxa"/>
            <w:vMerge w:val="restart"/>
            <w:tcBorders>
              <w:top w:val="single" w:sz="12" w:space="0" w:color="222222"/>
              <w:left w:val="single" w:sz="18" w:space="0" w:color="222222"/>
              <w:bottom w:val="single" w:sz="8" w:space="0" w:color="222222"/>
              <w:right w:val="single" w:sz="8" w:space="0" w:color="222222"/>
            </w:tcBorders>
            <w:shd w:val="clear" w:color="auto" w:fill="FFFFFF"/>
            <w:tcMar>
              <w:top w:w="0" w:type="dxa"/>
              <w:left w:w="100" w:type="dxa"/>
              <w:bottom w:w="0" w:type="dxa"/>
              <w:right w:w="100" w:type="dxa"/>
            </w:tcMar>
            <w:vAlign w:val="center"/>
          </w:tcPr>
          <w:p w14:paraId="1DD0B3B6" w14:textId="77777777" w:rsidR="000D29AB" w:rsidRDefault="00000000">
            <w:pPr>
              <w:spacing w:after="240" w:line="240" w:lineRule="auto"/>
              <w:jc w:val="center"/>
              <w:rPr>
                <w:rFonts w:ascii="Calibri" w:eastAsia="Calibri" w:hAnsi="Calibri" w:cs="Calibri"/>
                <w:b/>
                <w:bCs/>
                <w:highlight w:val="white"/>
              </w:rPr>
            </w:pPr>
            <w:r>
              <w:rPr>
                <w:rFonts w:ascii="Calibri" w:eastAsia="Calibri" w:hAnsi="Calibri" w:cs="Calibri"/>
                <w:b/>
                <w:bCs/>
                <w:highlight w:val="white"/>
              </w:rPr>
              <w:t>Details</w:t>
            </w:r>
          </w:p>
        </w:tc>
        <w:tc>
          <w:tcPr>
            <w:tcW w:w="7786" w:type="dxa"/>
            <w:gridSpan w:val="3"/>
            <w:tcBorders>
              <w:top w:val="single" w:sz="12" w:space="0" w:color="222222"/>
              <w:bottom w:val="single" w:sz="8" w:space="0" w:color="222222"/>
              <w:right w:val="single" w:sz="18" w:space="0" w:color="auto"/>
            </w:tcBorders>
            <w:shd w:val="clear" w:color="auto" w:fill="FFFFFF"/>
            <w:tcMar>
              <w:top w:w="0" w:type="dxa"/>
              <w:left w:w="100" w:type="dxa"/>
              <w:bottom w:w="0" w:type="dxa"/>
              <w:right w:w="100" w:type="dxa"/>
            </w:tcMar>
          </w:tcPr>
          <w:p w14:paraId="6A8B21EF" w14:textId="77777777" w:rsidR="000D29AB" w:rsidRDefault="00000000">
            <w:pPr>
              <w:spacing w:line="240" w:lineRule="auto"/>
              <w:rPr>
                <w:rFonts w:ascii="Calibri" w:eastAsia="Calibri" w:hAnsi="Calibri" w:cs="Calibri"/>
                <w:i/>
                <w:iCs/>
                <w:sz w:val="20"/>
                <w:szCs w:val="20"/>
                <w:highlight w:val="white"/>
              </w:rPr>
            </w:pPr>
            <w:r>
              <w:rPr>
                <w:rFonts w:ascii="Calibri" w:eastAsia="Calibri" w:hAnsi="Calibri" w:cs="Calibri"/>
                <w:i/>
                <w:iCs/>
                <w:sz w:val="20"/>
                <w:szCs w:val="20"/>
                <w:highlight w:val="white"/>
              </w:rPr>
              <w:t>The Details part is about transparency and reproducibility, i.e. the technical part of the model descriptions. Here, all details that are needed to replicate the model are specified, and linked, via cross-references, the code implementing the model and related scripts.</w:t>
            </w:r>
          </w:p>
        </w:tc>
      </w:tr>
      <w:tr w:rsidR="000D29AB" w14:paraId="4A1A42DF" w14:textId="77777777" w:rsidTr="005E76CE">
        <w:trPr>
          <w:trHeight w:val="600"/>
        </w:trPr>
        <w:tc>
          <w:tcPr>
            <w:tcW w:w="1283" w:type="dxa"/>
            <w:vMerge/>
            <w:tcBorders>
              <w:left w:val="single" w:sz="18" w:space="0" w:color="222222"/>
              <w:bottom w:val="single" w:sz="8" w:space="0" w:color="222222"/>
              <w:right w:val="single" w:sz="8" w:space="0" w:color="222222"/>
            </w:tcBorders>
            <w:shd w:val="clear" w:color="auto" w:fill="FFFFFF"/>
            <w:tcMar>
              <w:top w:w="0" w:type="dxa"/>
              <w:left w:w="100" w:type="dxa"/>
              <w:bottom w:w="0" w:type="dxa"/>
              <w:right w:w="100" w:type="dxa"/>
            </w:tcMar>
            <w:vAlign w:val="center"/>
          </w:tcPr>
          <w:p w14:paraId="36364D90" w14:textId="77777777" w:rsidR="000D29AB" w:rsidRDefault="000D29AB">
            <w:pPr>
              <w:spacing w:line="240" w:lineRule="auto"/>
              <w:rPr>
                <w:rFonts w:ascii="Calibri" w:eastAsia="Calibri" w:hAnsi="Calibri" w:cs="Calibri"/>
                <w:b/>
                <w:bCs/>
                <w:sz w:val="24"/>
                <w:szCs w:val="24"/>
                <w:highlight w:val="white"/>
              </w:rPr>
            </w:pPr>
          </w:p>
        </w:tc>
        <w:tc>
          <w:tcPr>
            <w:tcW w:w="1521" w:type="dxa"/>
            <w:tcBorders>
              <w:bottom w:val="single" w:sz="8" w:space="0" w:color="222222"/>
              <w:right w:val="single" w:sz="8" w:space="0" w:color="222222"/>
            </w:tcBorders>
            <w:shd w:val="clear" w:color="auto" w:fill="FFFFFF"/>
            <w:tcMar>
              <w:top w:w="0" w:type="dxa"/>
              <w:left w:w="100" w:type="dxa"/>
              <w:bottom w:w="0" w:type="dxa"/>
              <w:right w:w="100" w:type="dxa"/>
            </w:tcMar>
          </w:tcPr>
          <w:p w14:paraId="5C4A68F3" w14:textId="77777777" w:rsidR="000D29AB" w:rsidRDefault="00000000">
            <w:pPr>
              <w:spacing w:before="200" w:line="240" w:lineRule="auto"/>
              <w:rPr>
                <w:rFonts w:ascii="Calibri" w:eastAsia="Calibri" w:hAnsi="Calibri" w:cs="Calibri"/>
                <w:sz w:val="20"/>
                <w:szCs w:val="20"/>
                <w:highlight w:val="white"/>
              </w:rPr>
            </w:pPr>
            <w:r>
              <w:rPr>
                <w:rFonts w:ascii="Calibri" w:eastAsia="Calibri" w:hAnsi="Calibri" w:cs="Calibri"/>
                <w:sz w:val="20"/>
                <w:szCs w:val="20"/>
                <w:highlight w:val="white"/>
              </w:rPr>
              <w:t>5. Initialization</w:t>
            </w:r>
          </w:p>
        </w:tc>
        <w:tc>
          <w:tcPr>
            <w:tcW w:w="6265" w:type="dxa"/>
            <w:gridSpan w:val="2"/>
            <w:tcBorders>
              <w:bottom w:val="single" w:sz="8" w:space="0" w:color="222222"/>
              <w:right w:val="single" w:sz="18" w:space="0" w:color="auto"/>
            </w:tcBorders>
            <w:shd w:val="clear" w:color="auto" w:fill="FFFFFF"/>
            <w:tcMar>
              <w:top w:w="0" w:type="dxa"/>
              <w:left w:w="100" w:type="dxa"/>
              <w:bottom w:w="0" w:type="dxa"/>
              <w:right w:w="100" w:type="dxa"/>
            </w:tcMar>
          </w:tcPr>
          <w:p w14:paraId="2DA911BD" w14:textId="77777777" w:rsidR="000D29AB" w:rsidRDefault="00000000">
            <w:pPr>
              <w:spacing w:line="240" w:lineRule="auto"/>
              <w:rPr>
                <w:rFonts w:ascii="Calibri" w:eastAsia="Calibri" w:hAnsi="Calibri" w:cs="Calibri"/>
                <w:sz w:val="20"/>
                <w:szCs w:val="20"/>
                <w:highlight w:val="white"/>
              </w:rPr>
            </w:pPr>
            <w:r>
              <w:rPr>
                <w:rFonts w:ascii="Calibri" w:eastAsia="Calibri" w:hAnsi="Calibri" w:cs="Calibri"/>
                <w:sz w:val="20"/>
                <w:szCs w:val="20"/>
                <w:highlight w:val="white"/>
              </w:rPr>
              <w:t>Describes the initial definition of the model world, i.e. all entities present at the start and their state variables' settings.</w:t>
            </w:r>
          </w:p>
        </w:tc>
      </w:tr>
      <w:tr w:rsidR="000D29AB" w14:paraId="581EAEA1" w14:textId="77777777" w:rsidTr="005E76CE">
        <w:trPr>
          <w:trHeight w:val="420"/>
        </w:trPr>
        <w:tc>
          <w:tcPr>
            <w:tcW w:w="1283" w:type="dxa"/>
            <w:vMerge/>
            <w:tcBorders>
              <w:left w:val="single" w:sz="18" w:space="0" w:color="222222"/>
              <w:bottom w:val="single" w:sz="8" w:space="0" w:color="222222"/>
              <w:right w:val="single" w:sz="8" w:space="0" w:color="222222"/>
            </w:tcBorders>
            <w:shd w:val="clear" w:color="auto" w:fill="FFFFFF"/>
            <w:tcMar>
              <w:top w:w="100" w:type="dxa"/>
              <w:left w:w="100" w:type="dxa"/>
              <w:bottom w:w="100" w:type="dxa"/>
              <w:right w:w="100" w:type="dxa"/>
            </w:tcMar>
            <w:vAlign w:val="center"/>
          </w:tcPr>
          <w:p w14:paraId="6C843C3A" w14:textId="77777777" w:rsidR="000D29AB" w:rsidRDefault="000D29AB">
            <w:pPr>
              <w:spacing w:line="240" w:lineRule="auto"/>
              <w:rPr>
                <w:rFonts w:ascii="Calibri" w:eastAsia="Calibri" w:hAnsi="Calibri" w:cs="Calibri"/>
              </w:rPr>
            </w:pPr>
          </w:p>
        </w:tc>
        <w:tc>
          <w:tcPr>
            <w:tcW w:w="1521" w:type="dxa"/>
            <w:tcBorders>
              <w:bottom w:val="single" w:sz="8" w:space="0" w:color="222222"/>
              <w:right w:val="single" w:sz="8" w:space="0" w:color="222222"/>
            </w:tcBorders>
            <w:shd w:val="clear" w:color="auto" w:fill="FFFFFF"/>
            <w:tcMar>
              <w:top w:w="0" w:type="dxa"/>
              <w:left w:w="100" w:type="dxa"/>
              <w:bottom w:w="0" w:type="dxa"/>
              <w:right w:w="100" w:type="dxa"/>
            </w:tcMar>
          </w:tcPr>
          <w:p w14:paraId="28076765" w14:textId="77777777" w:rsidR="000D29AB" w:rsidRDefault="00000000">
            <w:pPr>
              <w:spacing w:line="240" w:lineRule="auto"/>
              <w:rPr>
                <w:rFonts w:ascii="Calibri" w:eastAsia="Calibri" w:hAnsi="Calibri" w:cs="Calibri"/>
                <w:sz w:val="20"/>
                <w:szCs w:val="20"/>
                <w:highlight w:val="white"/>
              </w:rPr>
            </w:pPr>
            <w:r>
              <w:rPr>
                <w:rFonts w:ascii="Calibri" w:eastAsia="Calibri" w:hAnsi="Calibri" w:cs="Calibri"/>
                <w:sz w:val="20"/>
                <w:szCs w:val="20"/>
                <w:highlight w:val="white"/>
              </w:rPr>
              <w:t>6. Input data</w:t>
            </w:r>
          </w:p>
        </w:tc>
        <w:tc>
          <w:tcPr>
            <w:tcW w:w="6265" w:type="dxa"/>
            <w:gridSpan w:val="2"/>
            <w:tcBorders>
              <w:bottom w:val="single" w:sz="8" w:space="0" w:color="222222"/>
              <w:right w:val="single" w:sz="18" w:space="0" w:color="auto"/>
            </w:tcBorders>
            <w:shd w:val="clear" w:color="auto" w:fill="FFFFFF"/>
            <w:tcMar>
              <w:top w:w="0" w:type="dxa"/>
              <w:left w:w="100" w:type="dxa"/>
              <w:bottom w:w="0" w:type="dxa"/>
              <w:right w:w="100" w:type="dxa"/>
            </w:tcMar>
          </w:tcPr>
          <w:p w14:paraId="3F165DF1" w14:textId="77777777" w:rsidR="000D29AB" w:rsidRDefault="00000000">
            <w:pPr>
              <w:spacing w:line="240" w:lineRule="auto"/>
              <w:rPr>
                <w:rFonts w:ascii="Calibri" w:eastAsia="Calibri" w:hAnsi="Calibri" w:cs="Calibri"/>
                <w:sz w:val="20"/>
                <w:szCs w:val="20"/>
                <w:highlight w:val="white"/>
              </w:rPr>
            </w:pPr>
            <w:r>
              <w:rPr>
                <w:rFonts w:ascii="Calibri" w:eastAsia="Calibri" w:hAnsi="Calibri" w:cs="Calibri"/>
                <w:sz w:val="20"/>
                <w:szCs w:val="20"/>
                <w:highlight w:val="white"/>
              </w:rPr>
              <w:t>Specifies any external data used to drive the model during simulations.</w:t>
            </w:r>
          </w:p>
        </w:tc>
      </w:tr>
      <w:tr w:rsidR="000D29AB" w14:paraId="286990C2" w14:textId="77777777" w:rsidTr="005E76CE">
        <w:trPr>
          <w:trHeight w:val="975"/>
        </w:trPr>
        <w:tc>
          <w:tcPr>
            <w:tcW w:w="1283" w:type="dxa"/>
            <w:vMerge/>
            <w:tcBorders>
              <w:left w:val="single" w:sz="18" w:space="0" w:color="222222"/>
              <w:bottom w:val="single" w:sz="18" w:space="0" w:color="222222"/>
              <w:right w:val="single" w:sz="8" w:space="0" w:color="222222"/>
            </w:tcBorders>
            <w:shd w:val="clear" w:color="auto" w:fill="FFFFFF"/>
            <w:tcMar>
              <w:top w:w="100" w:type="dxa"/>
              <w:left w:w="100" w:type="dxa"/>
              <w:bottom w:w="100" w:type="dxa"/>
              <w:right w:w="100" w:type="dxa"/>
            </w:tcMar>
            <w:vAlign w:val="center"/>
          </w:tcPr>
          <w:p w14:paraId="2C1E4CA7" w14:textId="77777777" w:rsidR="000D29AB" w:rsidRDefault="000D29AB">
            <w:pPr>
              <w:spacing w:line="240" w:lineRule="auto"/>
              <w:rPr>
                <w:rFonts w:ascii="Calibri" w:eastAsia="Calibri" w:hAnsi="Calibri" w:cs="Calibri"/>
              </w:rPr>
            </w:pPr>
          </w:p>
        </w:tc>
        <w:tc>
          <w:tcPr>
            <w:tcW w:w="1521" w:type="dxa"/>
            <w:tcBorders>
              <w:bottom w:val="single" w:sz="18" w:space="0" w:color="222222"/>
              <w:right w:val="single" w:sz="8" w:space="0" w:color="222222"/>
            </w:tcBorders>
            <w:shd w:val="clear" w:color="auto" w:fill="FFFFFF"/>
            <w:tcMar>
              <w:top w:w="0" w:type="dxa"/>
              <w:left w:w="100" w:type="dxa"/>
              <w:bottom w:w="0" w:type="dxa"/>
              <w:right w:w="100" w:type="dxa"/>
            </w:tcMar>
          </w:tcPr>
          <w:p w14:paraId="216F674E" w14:textId="77777777" w:rsidR="000D29AB" w:rsidRDefault="000D29AB">
            <w:pPr>
              <w:spacing w:line="240" w:lineRule="auto"/>
              <w:rPr>
                <w:rFonts w:ascii="Calibri" w:eastAsia="Calibri" w:hAnsi="Calibri" w:cs="Calibri"/>
                <w:sz w:val="20"/>
                <w:szCs w:val="20"/>
                <w:highlight w:val="white"/>
              </w:rPr>
            </w:pPr>
          </w:p>
          <w:p w14:paraId="49DADD7F" w14:textId="77777777" w:rsidR="000D29AB" w:rsidRDefault="00000000">
            <w:pPr>
              <w:spacing w:line="240" w:lineRule="auto"/>
              <w:rPr>
                <w:rFonts w:ascii="Calibri" w:eastAsia="Calibri" w:hAnsi="Calibri" w:cs="Calibri"/>
                <w:sz w:val="20"/>
                <w:szCs w:val="20"/>
                <w:highlight w:val="white"/>
              </w:rPr>
            </w:pPr>
            <w:r>
              <w:rPr>
                <w:rFonts w:ascii="Calibri" w:eastAsia="Calibri" w:hAnsi="Calibri" w:cs="Calibri"/>
                <w:sz w:val="20"/>
                <w:szCs w:val="20"/>
                <w:highlight w:val="white"/>
              </w:rPr>
              <w:t xml:space="preserve">7. </w:t>
            </w:r>
            <w:proofErr w:type="spellStart"/>
            <w:r>
              <w:rPr>
                <w:rFonts w:ascii="Calibri" w:eastAsia="Calibri" w:hAnsi="Calibri" w:cs="Calibri"/>
                <w:sz w:val="20"/>
                <w:szCs w:val="20"/>
                <w:highlight w:val="white"/>
              </w:rPr>
              <w:t>Submodels</w:t>
            </w:r>
            <w:proofErr w:type="spellEnd"/>
          </w:p>
        </w:tc>
        <w:tc>
          <w:tcPr>
            <w:tcW w:w="6265" w:type="dxa"/>
            <w:gridSpan w:val="2"/>
            <w:tcBorders>
              <w:bottom w:val="single" w:sz="18" w:space="0" w:color="222222"/>
              <w:right w:val="single" w:sz="18" w:space="0" w:color="auto"/>
            </w:tcBorders>
            <w:shd w:val="clear" w:color="auto" w:fill="FFFFFF"/>
            <w:tcMar>
              <w:top w:w="0" w:type="dxa"/>
              <w:left w:w="100" w:type="dxa"/>
              <w:bottom w:w="0" w:type="dxa"/>
              <w:right w:w="100" w:type="dxa"/>
            </w:tcMar>
            <w:vAlign w:val="center"/>
          </w:tcPr>
          <w:p w14:paraId="6C7039E2" w14:textId="77777777" w:rsidR="000D29AB" w:rsidRDefault="00000000">
            <w:pPr>
              <w:spacing w:line="240" w:lineRule="auto"/>
              <w:rPr>
                <w:rFonts w:ascii="Calibri" w:eastAsia="Calibri" w:hAnsi="Calibri" w:cs="Calibri"/>
                <w:sz w:val="20"/>
                <w:szCs w:val="20"/>
                <w:highlight w:val="white"/>
              </w:rPr>
            </w:pPr>
            <w:r>
              <w:rPr>
                <w:rFonts w:ascii="Calibri" w:eastAsia="Calibri" w:hAnsi="Calibri" w:cs="Calibri"/>
                <w:sz w:val="20"/>
                <w:szCs w:val="20"/>
                <w:highlight w:val="white"/>
              </w:rPr>
              <w:t xml:space="preserve">Provides detailed descriptions of the rules and mechanisms governing changes of the model´s entities over time. Their names of variables and processes should correspond to the names used in the Overview part. </w:t>
            </w:r>
          </w:p>
        </w:tc>
      </w:tr>
    </w:tbl>
    <w:p w14:paraId="74E32D7A" w14:textId="77777777" w:rsidR="000D29AB" w:rsidRDefault="000D29AB">
      <w:pPr>
        <w:spacing w:after="160" w:line="259" w:lineRule="auto"/>
        <w:rPr>
          <w:rFonts w:ascii="Calibri" w:eastAsia="Calibri" w:hAnsi="Calibri" w:cs="Calibri"/>
          <w:b/>
          <w:bCs/>
        </w:rPr>
      </w:pPr>
    </w:p>
    <w:p w14:paraId="4A549AB4" w14:textId="77777777" w:rsidR="000D29AB" w:rsidRDefault="00000000">
      <w:pPr>
        <w:spacing w:after="160" w:line="259" w:lineRule="auto"/>
        <w:rPr>
          <w:rFonts w:ascii="Calibri" w:eastAsia="Calibri" w:hAnsi="Calibri" w:cs="Calibri"/>
          <w:b/>
          <w:bCs/>
        </w:rPr>
      </w:pPr>
      <w:r>
        <w:br w:type="page"/>
      </w:r>
    </w:p>
    <w:p w14:paraId="2ABFCF1F" w14:textId="77777777" w:rsidR="000D29AB" w:rsidRDefault="00000000">
      <w:pPr>
        <w:pStyle w:val="Heading1"/>
      </w:pPr>
      <w:bookmarkStart w:id="5" w:name="_lx8s3mgw5r5k" w:colFirst="0" w:colLast="0"/>
      <w:bookmarkEnd w:id="5"/>
      <w:r>
        <w:lastRenderedPageBreak/>
        <w:t>Glossary</w:t>
      </w:r>
    </w:p>
    <w:p w14:paraId="1B79A909" w14:textId="77777777" w:rsidR="000D29AB" w:rsidRDefault="00000000">
      <w:pPr>
        <w:ind w:left="720" w:hanging="720"/>
      </w:pPr>
      <w:r>
        <w:rPr>
          <w:b/>
          <w:bCs/>
        </w:rPr>
        <w:t>Design concepts</w:t>
      </w:r>
      <w:r>
        <w:t xml:space="preserve">: Concepts that </w:t>
      </w:r>
      <w:proofErr w:type="gramStart"/>
      <w:r>
        <w:t>underlie</w:t>
      </w:r>
      <w:proofErr w:type="gramEnd"/>
      <w:r>
        <w:t xml:space="preserve"> a model’s design. They are so important for a model’s scope and usefulness that their choice and use needs to be considered explicitly. </w:t>
      </w:r>
    </w:p>
    <w:p w14:paraId="255690C4" w14:textId="77777777" w:rsidR="000D29AB" w:rsidRDefault="00000000">
      <w:pPr>
        <w:spacing w:after="200"/>
        <w:ind w:left="720" w:hanging="720"/>
        <w:rPr>
          <w:b/>
          <w:bCs/>
        </w:rPr>
      </w:pPr>
      <w:r>
        <w:rPr>
          <w:i/>
          <w:iCs/>
          <w:sz w:val="20"/>
          <w:szCs w:val="20"/>
        </w:rPr>
        <w:t>Comment</w:t>
      </w:r>
      <w:r>
        <w:rPr>
          <w:sz w:val="20"/>
          <w:szCs w:val="20"/>
        </w:rPr>
        <w:t xml:space="preserve">: They differ between model types. For agent-based models, emergence (emergent behavior), learning, or interaction are examples. For other model types, using a grid of spatial units, assuming rationale </w:t>
      </w:r>
      <w:proofErr w:type="spellStart"/>
      <w:r>
        <w:rPr>
          <w:sz w:val="20"/>
          <w:szCs w:val="20"/>
        </w:rPr>
        <w:t>behaviour</w:t>
      </w:r>
      <w:proofErr w:type="spellEnd"/>
      <w:r>
        <w:rPr>
          <w:sz w:val="20"/>
          <w:szCs w:val="20"/>
        </w:rPr>
        <w:t>, or the settings of a numerical solution are possible examples.</w:t>
      </w:r>
    </w:p>
    <w:p w14:paraId="04FC8886" w14:textId="77777777" w:rsidR="000D29AB" w:rsidRDefault="00000000">
      <w:pPr>
        <w:ind w:left="720" w:hanging="720"/>
      </w:pPr>
      <w:r>
        <w:rPr>
          <w:b/>
          <w:bCs/>
        </w:rPr>
        <w:t>Entity</w:t>
      </w:r>
      <w:r>
        <w:t>: An entity is a distinct object, organism, component, or unit of interest in the model that has an identity and may possess attributes and participate in processes or interactions.</w:t>
      </w:r>
    </w:p>
    <w:p w14:paraId="670E1D92" w14:textId="77777777" w:rsidR="000D29AB" w:rsidRDefault="00000000">
      <w:pPr>
        <w:spacing w:after="200"/>
        <w:ind w:left="720" w:hanging="720"/>
        <w:rPr>
          <w:sz w:val="20"/>
          <w:szCs w:val="20"/>
        </w:rPr>
      </w:pPr>
      <w:r>
        <w:rPr>
          <w:i/>
          <w:iCs/>
          <w:sz w:val="20"/>
          <w:szCs w:val="20"/>
        </w:rPr>
        <w:t>Examples</w:t>
      </w:r>
      <w:r>
        <w:rPr>
          <w:sz w:val="20"/>
          <w:szCs w:val="20"/>
        </w:rPr>
        <w:t xml:space="preserve">: organisms, collectives of organisms (packs), people, institutions; spatial units (cells in models which use a grid of cells to represent spatial heterogeneity and interactions); the environment (weather, market price). </w:t>
      </w:r>
    </w:p>
    <w:p w14:paraId="23916047" w14:textId="77777777" w:rsidR="000D29AB" w:rsidRDefault="00000000">
      <w:pPr>
        <w:spacing w:after="200"/>
        <w:ind w:left="720" w:hanging="720"/>
      </w:pPr>
      <w:r>
        <w:rPr>
          <w:b/>
          <w:bCs/>
        </w:rPr>
        <w:t>Initialization</w:t>
      </w:r>
      <w:r>
        <w:t xml:space="preserve">: The initial setting of the number of all entities, and the initial value of all state variables of all entities. Per run, this happens only once, while the schedule of processes within a time step is repeated until a given stop condition is met. </w:t>
      </w:r>
    </w:p>
    <w:p w14:paraId="1B274F66" w14:textId="77777777" w:rsidR="000D29AB" w:rsidRDefault="00000000">
      <w:pPr>
        <w:ind w:left="720" w:hanging="720"/>
      </w:pPr>
      <w:r>
        <w:rPr>
          <w:b/>
          <w:bCs/>
        </w:rPr>
        <w:t>Input Data</w:t>
      </w:r>
      <w:r>
        <w:t>: Data of external drivers of the modelled system, which change over time, are imported from external files.</w:t>
      </w:r>
    </w:p>
    <w:p w14:paraId="4E1DBA18" w14:textId="77777777" w:rsidR="000D29AB" w:rsidRDefault="00000000">
      <w:pPr>
        <w:ind w:left="720" w:hanging="720"/>
        <w:rPr>
          <w:sz w:val="20"/>
          <w:szCs w:val="20"/>
        </w:rPr>
      </w:pPr>
      <w:r>
        <w:tab/>
      </w:r>
      <w:r>
        <w:rPr>
          <w:sz w:val="20"/>
          <w:szCs w:val="20"/>
        </w:rPr>
        <w:t>Examples: Weather, market price, etc.</w:t>
      </w:r>
    </w:p>
    <w:p w14:paraId="657913D7" w14:textId="77777777" w:rsidR="000D29AB" w:rsidRDefault="00000000">
      <w:pPr>
        <w:spacing w:after="200"/>
        <w:ind w:left="720" w:hanging="720"/>
        <w:rPr>
          <w:b/>
          <w:bCs/>
        </w:rPr>
      </w:pPr>
      <w:r>
        <w:rPr>
          <w:i/>
          <w:iCs/>
          <w:sz w:val="20"/>
          <w:szCs w:val="20"/>
        </w:rPr>
        <w:t>Comment</w:t>
      </w:r>
      <w:r>
        <w:rPr>
          <w:sz w:val="20"/>
          <w:szCs w:val="20"/>
        </w:rPr>
        <w:t>: “Input” here refers to input from data files, not from users via the Graphical User Interface.</w:t>
      </w:r>
    </w:p>
    <w:p w14:paraId="70FB193C" w14:textId="77777777" w:rsidR="000D29AB" w:rsidRDefault="00000000">
      <w:pPr>
        <w:spacing w:after="200"/>
        <w:ind w:left="720" w:hanging="720"/>
        <w:rPr>
          <w:sz w:val="20"/>
          <w:szCs w:val="20"/>
        </w:rPr>
      </w:pPr>
      <w:r>
        <w:rPr>
          <w:b/>
          <w:bCs/>
        </w:rPr>
        <w:t>Process</w:t>
      </w:r>
      <w:r>
        <w:t xml:space="preserve">: A process is a mechanism or sequence of activities through which entities, their states, or relationships change over time. </w:t>
      </w:r>
    </w:p>
    <w:p w14:paraId="6C0415D8" w14:textId="77777777" w:rsidR="000D29AB" w:rsidRDefault="00000000">
      <w:pPr>
        <w:ind w:left="720" w:hanging="720"/>
      </w:pPr>
      <w:r>
        <w:rPr>
          <w:b/>
          <w:bCs/>
        </w:rPr>
        <w:t>Scales</w:t>
      </w:r>
      <w:r>
        <w:t xml:space="preserve">: Spatial and temporal scales specify the spatial and temporal dimensions at which a model represents a system, its entities, and its processes. </w:t>
      </w:r>
    </w:p>
    <w:p w14:paraId="73C6F3D4" w14:textId="77777777" w:rsidR="000D29AB" w:rsidRDefault="00000000">
      <w:pPr>
        <w:ind w:left="720" w:hanging="720"/>
        <w:rPr>
          <w:sz w:val="20"/>
          <w:szCs w:val="20"/>
        </w:rPr>
      </w:pPr>
      <w:r>
        <w:rPr>
          <w:i/>
          <w:iCs/>
          <w:sz w:val="20"/>
          <w:szCs w:val="20"/>
        </w:rPr>
        <w:t>Spatial extent</w:t>
      </w:r>
      <w:r>
        <w:rPr>
          <w:sz w:val="20"/>
          <w:szCs w:val="20"/>
        </w:rPr>
        <w:t>: The total area or geographical domain covered by the model.</w:t>
      </w:r>
    </w:p>
    <w:p w14:paraId="32850FAA" w14:textId="77777777" w:rsidR="000D29AB" w:rsidRDefault="00000000">
      <w:pPr>
        <w:ind w:left="720" w:hanging="720"/>
        <w:rPr>
          <w:sz w:val="20"/>
          <w:szCs w:val="20"/>
        </w:rPr>
      </w:pPr>
      <w:r>
        <w:rPr>
          <w:i/>
          <w:iCs/>
          <w:sz w:val="20"/>
          <w:szCs w:val="20"/>
        </w:rPr>
        <w:t>Spatial resolution</w:t>
      </w:r>
      <w:r>
        <w:rPr>
          <w:sz w:val="20"/>
          <w:szCs w:val="20"/>
        </w:rPr>
        <w:t>: The size of the smallest spatial units distinguished by the model, or the precision with which locations are represented.</w:t>
      </w:r>
    </w:p>
    <w:p w14:paraId="35B6CC24" w14:textId="77777777" w:rsidR="000D29AB" w:rsidRDefault="00000000">
      <w:pPr>
        <w:ind w:left="720" w:hanging="720"/>
        <w:rPr>
          <w:sz w:val="20"/>
          <w:szCs w:val="20"/>
        </w:rPr>
      </w:pPr>
      <w:r>
        <w:rPr>
          <w:i/>
          <w:iCs/>
          <w:sz w:val="20"/>
          <w:szCs w:val="20"/>
        </w:rPr>
        <w:t>Temporal extent</w:t>
      </w:r>
      <w:r>
        <w:rPr>
          <w:sz w:val="20"/>
          <w:szCs w:val="20"/>
        </w:rPr>
        <w:t>: The total period covered by the model.</w:t>
      </w:r>
    </w:p>
    <w:p w14:paraId="40C263AF" w14:textId="77777777" w:rsidR="000D29AB" w:rsidRDefault="00000000">
      <w:pPr>
        <w:ind w:left="720" w:hanging="720"/>
        <w:rPr>
          <w:sz w:val="20"/>
          <w:szCs w:val="20"/>
        </w:rPr>
      </w:pPr>
      <w:r>
        <w:rPr>
          <w:i/>
          <w:iCs/>
          <w:sz w:val="20"/>
          <w:szCs w:val="20"/>
        </w:rPr>
        <w:t>Temporal resolution</w:t>
      </w:r>
      <w:r>
        <w:rPr>
          <w:sz w:val="20"/>
          <w:szCs w:val="20"/>
        </w:rPr>
        <w:t>: The duration of the time steps or the smallest time intervals at which changes are represented.</w:t>
      </w:r>
    </w:p>
    <w:p w14:paraId="7C770BE9" w14:textId="77777777" w:rsidR="000D29AB" w:rsidRDefault="00000000">
      <w:pPr>
        <w:spacing w:after="200"/>
        <w:ind w:left="720" w:hanging="720"/>
        <w:rPr>
          <w:b/>
          <w:bCs/>
        </w:rPr>
      </w:pPr>
      <w:r>
        <w:rPr>
          <w:i/>
          <w:iCs/>
          <w:sz w:val="20"/>
          <w:szCs w:val="20"/>
        </w:rPr>
        <w:t>Comment</w:t>
      </w:r>
      <w:r>
        <w:rPr>
          <w:sz w:val="20"/>
          <w:szCs w:val="20"/>
        </w:rPr>
        <w:t xml:space="preserve">: Note that large </w:t>
      </w:r>
      <w:proofErr w:type="gramStart"/>
      <w:r>
        <w:rPr>
          <w:sz w:val="20"/>
          <w:szCs w:val="20"/>
        </w:rPr>
        <w:t>scale</w:t>
      </w:r>
      <w:proofErr w:type="gramEnd"/>
      <w:r>
        <w:rPr>
          <w:sz w:val="20"/>
          <w:szCs w:val="20"/>
        </w:rPr>
        <w:t xml:space="preserve"> in geography is the opposite of large </w:t>
      </w:r>
      <w:proofErr w:type="gramStart"/>
      <w:r>
        <w:rPr>
          <w:sz w:val="20"/>
          <w:szCs w:val="20"/>
        </w:rPr>
        <w:t>scale</w:t>
      </w:r>
      <w:proofErr w:type="gramEnd"/>
      <w:r>
        <w:rPr>
          <w:sz w:val="20"/>
          <w:szCs w:val="20"/>
        </w:rPr>
        <w:t xml:space="preserve"> in ecology and other environmental sciences. </w:t>
      </w:r>
    </w:p>
    <w:p w14:paraId="7E10D397" w14:textId="77777777" w:rsidR="000D29AB" w:rsidRDefault="00000000">
      <w:pPr>
        <w:spacing w:after="200"/>
        <w:ind w:left="720" w:hanging="720"/>
      </w:pPr>
      <w:r>
        <w:rPr>
          <w:b/>
          <w:bCs/>
        </w:rPr>
        <w:t>Scheduling</w:t>
      </w:r>
      <w:r>
        <w:t xml:space="preserve">: The sequence by which a model’s processes are executed. The sequence of processes within the time step by which the model moves on matters and therefore needs to be carefully designed and fully communicated. The same holds for models with coupled ODEs or PDEs, where the solvers often do not solve all equations in one step, but one after the other. </w:t>
      </w:r>
    </w:p>
    <w:p w14:paraId="66924210" w14:textId="77777777" w:rsidR="000D29AB" w:rsidRDefault="00000000">
      <w:pPr>
        <w:spacing w:after="200"/>
        <w:ind w:left="720" w:hanging="720"/>
      </w:pPr>
      <w:r>
        <w:rPr>
          <w:b/>
          <w:bCs/>
        </w:rPr>
        <w:t>State variable</w:t>
      </w:r>
      <w:r>
        <w:t>: A variable or attribute that characterizes an entity.</w:t>
      </w:r>
    </w:p>
    <w:p w14:paraId="13FD438C" w14:textId="77777777" w:rsidR="000D29AB" w:rsidRDefault="00000000">
      <w:pPr>
        <w:ind w:left="720" w:hanging="720"/>
        <w:rPr>
          <w:sz w:val="20"/>
          <w:szCs w:val="20"/>
        </w:rPr>
      </w:pPr>
      <w:r>
        <w:rPr>
          <w:i/>
          <w:iCs/>
          <w:sz w:val="20"/>
          <w:szCs w:val="20"/>
        </w:rPr>
        <w:t>Examples</w:t>
      </w:r>
      <w:r>
        <w:rPr>
          <w:sz w:val="20"/>
          <w:szCs w:val="20"/>
        </w:rPr>
        <w:t>: age, group size (packs), bold vs shy personality; vegetation cover, soil moisture</w:t>
      </w:r>
    </w:p>
    <w:p w14:paraId="7614FC44" w14:textId="77777777" w:rsidR="000D29AB" w:rsidRDefault="00000000">
      <w:pPr>
        <w:spacing w:after="200"/>
        <w:ind w:left="720" w:hanging="720"/>
        <w:rPr>
          <w:sz w:val="20"/>
          <w:szCs w:val="20"/>
        </w:rPr>
      </w:pPr>
      <w:r>
        <w:rPr>
          <w:i/>
          <w:iCs/>
          <w:sz w:val="20"/>
          <w:szCs w:val="20"/>
        </w:rPr>
        <w:lastRenderedPageBreak/>
        <w:t>Comment</w:t>
      </w:r>
      <w:r>
        <w:rPr>
          <w:sz w:val="20"/>
          <w:szCs w:val="20"/>
        </w:rPr>
        <w:t xml:space="preserve">: state variables are “elemental” in that they cannot be calculated from other state variables (biomass of a tree is a state variable, summed-up biomass of a forest is not). State variables allow </w:t>
      </w:r>
      <w:proofErr w:type="gramStart"/>
      <w:r>
        <w:rPr>
          <w:sz w:val="20"/>
          <w:szCs w:val="20"/>
        </w:rPr>
        <w:t>to distinguish</w:t>
      </w:r>
      <w:proofErr w:type="gramEnd"/>
      <w:r>
        <w:rPr>
          <w:sz w:val="20"/>
          <w:szCs w:val="20"/>
        </w:rPr>
        <w:t xml:space="preserve"> entities; they vary over time, or among entities, or both. Parameters, which are usually constant during a model run, can be state variables if they are, e.g. assigned stochastically to the entities during model initialization. </w:t>
      </w:r>
    </w:p>
    <w:p w14:paraId="1E1EB591" w14:textId="77777777" w:rsidR="000D29AB" w:rsidRDefault="00000000">
      <w:pPr>
        <w:ind w:left="720" w:hanging="720"/>
      </w:pPr>
      <w:proofErr w:type="spellStart"/>
      <w:r>
        <w:rPr>
          <w:b/>
          <w:bCs/>
        </w:rPr>
        <w:t>Submodels</w:t>
      </w:r>
      <w:proofErr w:type="spellEnd"/>
      <w:r>
        <w:t xml:space="preserve">: Implementation of the processes listed in the process overview of the Overview part of ODD. </w:t>
      </w:r>
    </w:p>
    <w:p w14:paraId="1B282EB4" w14:textId="77777777" w:rsidR="000D29AB" w:rsidRDefault="00000000">
      <w:pPr>
        <w:ind w:left="720" w:hanging="720"/>
        <w:rPr>
          <w:sz w:val="20"/>
          <w:szCs w:val="20"/>
        </w:rPr>
      </w:pPr>
      <w:r>
        <w:rPr>
          <w:sz w:val="20"/>
          <w:szCs w:val="20"/>
        </w:rPr>
        <w:tab/>
      </w:r>
      <w:r>
        <w:rPr>
          <w:i/>
          <w:iCs/>
          <w:sz w:val="20"/>
          <w:szCs w:val="20"/>
        </w:rPr>
        <w:t>Comment</w:t>
      </w:r>
      <w:r>
        <w:rPr>
          <w:sz w:val="20"/>
          <w:szCs w:val="20"/>
        </w:rPr>
        <w:t>: This can be simple equations, complex algorithms, or a mix of both.</w:t>
      </w:r>
    </w:p>
    <w:p w14:paraId="6F947D9D" w14:textId="77777777" w:rsidR="000D29AB" w:rsidRDefault="00000000">
      <w:pPr>
        <w:pStyle w:val="Heading1"/>
      </w:pPr>
      <w:bookmarkStart w:id="6" w:name="_7owtvmh1g7jm" w:colFirst="0" w:colLast="0"/>
      <w:bookmarkEnd w:id="6"/>
      <w:r>
        <w:t>Template and examples</w:t>
      </w:r>
    </w:p>
    <w:p w14:paraId="2EA3E227" w14:textId="77777777" w:rsidR="000D29AB" w:rsidRDefault="00000000">
      <w:r>
        <w:t>See Supplement “</w:t>
      </w:r>
      <w:proofErr w:type="spellStart"/>
      <w:r>
        <w:t>OMFsODD</w:t>
      </w:r>
      <w:proofErr w:type="spellEnd"/>
      <w:r>
        <w:t xml:space="preserve"> Supplement - Templates and Examples.docx”. </w:t>
      </w:r>
    </w:p>
    <w:p w14:paraId="6027BE38" w14:textId="77777777" w:rsidR="000D29AB" w:rsidRDefault="00000000">
      <w:pPr>
        <w:pStyle w:val="Heading1"/>
      </w:pPr>
      <w:bookmarkStart w:id="7" w:name="_ygeewjod52bu" w:colFirst="0" w:colLast="0"/>
      <w:bookmarkEnd w:id="7"/>
      <w:r>
        <w:t>References</w:t>
      </w:r>
    </w:p>
    <w:p w14:paraId="6FB95231" w14:textId="77777777" w:rsidR="000D29AB" w:rsidRDefault="00000000">
      <w:pPr>
        <w:spacing w:after="120"/>
      </w:pPr>
      <w:r>
        <w:rPr>
          <w:color w:val="222222"/>
          <w:sz w:val="20"/>
          <w:szCs w:val="20"/>
        </w:rPr>
        <w:t xml:space="preserve">Grimm, V., Rosello, C., Hamilton, S., Gallagher, C., Micheletti, T., </w:t>
      </w:r>
      <w:proofErr w:type="spellStart"/>
      <w:r>
        <w:rPr>
          <w:color w:val="222222"/>
          <w:sz w:val="20"/>
          <w:szCs w:val="20"/>
        </w:rPr>
        <w:t>Szangolies</w:t>
      </w:r>
      <w:proofErr w:type="spellEnd"/>
      <w:r>
        <w:rPr>
          <w:color w:val="222222"/>
          <w:sz w:val="20"/>
          <w:szCs w:val="20"/>
        </w:rPr>
        <w:t>, L., ... &amp; Railsback, S. (2027). Twenty years of the ODD protocol: development, usage, extensions, and lessons learned about modelling standards development.</w:t>
      </w:r>
      <w:r>
        <w:t xml:space="preserve"> </w:t>
      </w:r>
      <w:r>
        <w:rPr>
          <w:sz w:val="20"/>
          <w:szCs w:val="20"/>
        </w:rPr>
        <w:t>Environmental Modelling &amp; Software 207, 107203</w:t>
      </w:r>
      <w:r>
        <w:t xml:space="preserve"> </w:t>
      </w:r>
    </w:p>
    <w:p w14:paraId="33931890" w14:textId="77777777" w:rsidR="000D29AB" w:rsidRDefault="00000000">
      <w:pPr>
        <w:pBdr>
          <w:top w:val="nil"/>
          <w:left w:val="nil"/>
          <w:bottom w:val="nil"/>
          <w:right w:val="nil"/>
          <w:between w:val="nil"/>
        </w:pBdr>
        <w:spacing w:after="120"/>
        <w:rPr>
          <w:color w:val="222222"/>
          <w:sz w:val="20"/>
          <w:szCs w:val="20"/>
        </w:rPr>
      </w:pPr>
      <w:proofErr w:type="gramStart"/>
      <w:r>
        <w:rPr>
          <w:color w:val="222222"/>
          <w:sz w:val="20"/>
          <w:szCs w:val="20"/>
        </w:rPr>
        <w:t>Rosello  C</w:t>
      </w:r>
      <w:proofErr w:type="gramEnd"/>
      <w:r>
        <w:rPr>
          <w:color w:val="222222"/>
          <w:sz w:val="20"/>
          <w:szCs w:val="20"/>
        </w:rPr>
        <w:t xml:space="preserve">, Hamilton SH, Grimm V, Barton MC, Edmonds B, </w:t>
      </w:r>
      <w:proofErr w:type="spellStart"/>
      <w:r>
        <w:rPr>
          <w:color w:val="222222"/>
          <w:sz w:val="20"/>
          <w:szCs w:val="20"/>
        </w:rPr>
        <w:t>Elsawah</w:t>
      </w:r>
      <w:proofErr w:type="spellEnd"/>
      <w:r>
        <w:rPr>
          <w:color w:val="222222"/>
          <w:sz w:val="20"/>
          <w:szCs w:val="20"/>
        </w:rPr>
        <w:t xml:space="preserve"> S, Grant WE, Hengeveld GM, Jakeman AJ, Koralewski TE, Lynch I, Lemmen C, Pierce </w:t>
      </w:r>
      <w:proofErr w:type="spellStart"/>
      <w:r>
        <w:rPr>
          <w:color w:val="222222"/>
          <w:sz w:val="20"/>
          <w:szCs w:val="20"/>
        </w:rPr>
        <w:t>MEj</w:t>
      </w:r>
      <w:proofErr w:type="spellEnd"/>
      <w:r>
        <w:rPr>
          <w:color w:val="222222"/>
          <w:sz w:val="20"/>
          <w:szCs w:val="20"/>
        </w:rPr>
        <w:t xml:space="preserve">, Qin C-Z, </w:t>
      </w:r>
      <w:proofErr w:type="spellStart"/>
      <w:r>
        <w:rPr>
          <w:color w:val="222222"/>
          <w:sz w:val="20"/>
          <w:szCs w:val="20"/>
        </w:rPr>
        <w:t>Vincenot</w:t>
      </w:r>
      <w:proofErr w:type="spellEnd"/>
      <w:r>
        <w:rPr>
          <w:color w:val="222222"/>
          <w:sz w:val="20"/>
          <w:szCs w:val="20"/>
        </w:rPr>
        <w:t xml:space="preserve"> CE, Wang H-H. 2026. FAIR principles for good modeling practice and standards. SSRN 6213393. DOI: 10.2139/ssrn.6213393 </w:t>
      </w:r>
    </w:p>
    <w:p w14:paraId="2D222268" w14:textId="77777777" w:rsidR="000D29AB" w:rsidRDefault="000D29AB">
      <w:pPr>
        <w:rPr>
          <w:color w:val="222222"/>
          <w:sz w:val="20"/>
          <w:szCs w:val="20"/>
        </w:rPr>
      </w:pPr>
    </w:p>
    <w:p w14:paraId="118EBE4F" w14:textId="77777777" w:rsidR="000D29AB" w:rsidRDefault="000D29AB"/>
    <w:sectPr w:rsidR="000D29AB">
      <w:headerReference w:type="default" r:id="rId7"/>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EAF0BF" w14:textId="77777777" w:rsidR="00A50027" w:rsidRDefault="00A50027">
      <w:pPr>
        <w:spacing w:line="240" w:lineRule="auto"/>
      </w:pPr>
      <w:r>
        <w:separator/>
      </w:r>
    </w:p>
  </w:endnote>
  <w:endnote w:type="continuationSeparator" w:id="0">
    <w:p w14:paraId="2D26D554" w14:textId="77777777" w:rsidR="00A50027" w:rsidRDefault="00A5002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ABC0FB9D-164B-4F8D-ABE5-9A0A5EA12921}"/>
    <w:embedBold r:id="rId2" w:fontKey="{A9DB7545-C73D-4034-AB77-F5AD07D0D26D}"/>
    <w:embedItalic r:id="rId3" w:fontKey="{C52DFE6F-D729-4DB9-BAAF-420171DA740C}"/>
  </w:font>
  <w:font w:name="Cambria">
    <w:panose1 w:val="02040503050406030204"/>
    <w:charset w:val="00"/>
    <w:family w:val="roman"/>
    <w:pitch w:val="variable"/>
    <w:sig w:usb0="E00006FF" w:usb1="420024FF" w:usb2="02000000" w:usb3="00000000" w:csb0="0000019F" w:csb1="00000000"/>
    <w:embedRegular r:id="rId4" w:fontKey="{937D472C-71F7-40E3-8DE0-B8B28B478384}"/>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690F77" w14:textId="77777777" w:rsidR="00A50027" w:rsidRDefault="00A50027">
      <w:pPr>
        <w:spacing w:line="240" w:lineRule="auto"/>
      </w:pPr>
      <w:r>
        <w:separator/>
      </w:r>
    </w:p>
  </w:footnote>
  <w:footnote w:type="continuationSeparator" w:id="0">
    <w:p w14:paraId="0FA07E95" w14:textId="77777777" w:rsidR="00A50027" w:rsidRDefault="00A50027">
      <w:pPr>
        <w:spacing w:line="240" w:lineRule="auto"/>
      </w:pPr>
      <w:r>
        <w:continuationSeparator/>
      </w:r>
    </w:p>
  </w:footnote>
  <w:footnote w:id="1">
    <w:p w14:paraId="273878E2" w14:textId="77777777" w:rsidR="000D29AB" w:rsidRDefault="00000000">
      <w:pPr>
        <w:spacing w:line="240" w:lineRule="auto"/>
        <w:rPr>
          <w:sz w:val="20"/>
          <w:szCs w:val="20"/>
        </w:rPr>
      </w:pPr>
      <w:r>
        <w:rPr>
          <w:vertAlign w:val="superscript"/>
        </w:rPr>
        <w:footnoteRef/>
      </w:r>
      <w:r>
        <w:rPr>
          <w:sz w:val="20"/>
          <w:szCs w:val="20"/>
        </w:rPr>
        <w:t xml:space="preserve"> Nov 1, 2026</w:t>
      </w:r>
    </w:p>
  </w:footnote>
  <w:footnote w:id="2">
    <w:p w14:paraId="3C8235B7" w14:textId="77777777" w:rsidR="000D29AB" w:rsidRDefault="00000000">
      <w:pPr>
        <w:spacing w:line="240" w:lineRule="auto"/>
        <w:rPr>
          <w:sz w:val="20"/>
          <w:szCs w:val="20"/>
        </w:rPr>
      </w:pPr>
      <w:r>
        <w:rPr>
          <w:vertAlign w:val="superscript"/>
        </w:rPr>
        <w:footnoteRef/>
      </w:r>
      <w:r>
        <w:rPr>
          <w:rFonts w:ascii="Calibri" w:eastAsia="Calibri" w:hAnsi="Calibri" w:cs="Calibri"/>
          <w:sz w:val="20"/>
          <w:szCs w:val="20"/>
        </w:rPr>
        <w:t xml:space="preserve"> LLM-based tools will </w:t>
      </w:r>
      <w:proofErr w:type="gramStart"/>
      <w:r>
        <w:rPr>
          <w:rFonts w:ascii="Calibri" w:eastAsia="Calibri" w:hAnsi="Calibri" w:cs="Calibri"/>
          <w:sz w:val="20"/>
          <w:szCs w:val="20"/>
        </w:rPr>
        <w:t>help</w:t>
      </w:r>
      <w:proofErr w:type="gramEnd"/>
      <w:r>
        <w:rPr>
          <w:rFonts w:ascii="Calibri" w:eastAsia="Calibri" w:hAnsi="Calibri" w:cs="Calibri"/>
          <w:sz w:val="20"/>
          <w:szCs w:val="20"/>
        </w:rPr>
        <w:t xml:space="preserve"> testing for compliance</w:t>
      </w:r>
      <w:r>
        <w:rPr>
          <w:sz w:val="20"/>
          <w:szCs w:val="20"/>
        </w:rPr>
        <w:t>.</w:t>
      </w:r>
    </w:p>
  </w:footnote>
  <w:footnote w:id="3">
    <w:p w14:paraId="6A538F7C" w14:textId="13BD596F" w:rsidR="000D29AB" w:rsidRDefault="00000000">
      <w:pPr>
        <w:spacing w:line="240" w:lineRule="auto"/>
        <w:rPr>
          <w:rFonts w:ascii="Calibri" w:eastAsia="Calibri" w:hAnsi="Calibri" w:cs="Calibri"/>
          <w:sz w:val="20"/>
          <w:szCs w:val="20"/>
        </w:rPr>
      </w:pPr>
      <w:r>
        <w:rPr>
          <w:vertAlign w:val="superscript"/>
        </w:rPr>
        <w:footnoteRef/>
      </w:r>
      <w:r>
        <w:rPr>
          <w:sz w:val="20"/>
          <w:szCs w:val="20"/>
        </w:rPr>
        <w:t xml:space="preserve"> </w:t>
      </w:r>
      <w:r>
        <w:rPr>
          <w:rFonts w:ascii="Calibri" w:eastAsia="Calibri" w:hAnsi="Calibri" w:cs="Calibri"/>
          <w:sz w:val="20"/>
          <w:szCs w:val="20"/>
        </w:rPr>
        <w:t xml:space="preserve">Reporting guidelines provide checklists where authors specify where in their article or report certain pieces of information are to be found, e.g. CONSORT for randomized trials in medical </w:t>
      </w:r>
      <w:proofErr w:type="gramStart"/>
      <w:r>
        <w:rPr>
          <w:rFonts w:ascii="Calibri" w:eastAsia="Calibri" w:hAnsi="Calibri" w:cs="Calibri"/>
          <w:sz w:val="20"/>
          <w:szCs w:val="20"/>
        </w:rPr>
        <w:t>studies  (</w:t>
      </w:r>
      <w:proofErr w:type="gramEnd"/>
      <w:r>
        <w:rPr>
          <w:rFonts w:ascii="Calibri" w:eastAsia="Calibri" w:hAnsi="Calibri" w:cs="Calibri"/>
          <w:sz w:val="20"/>
          <w:szCs w:val="20"/>
        </w:rPr>
        <w:t>over 12,000 citations, see example in Supplemen</w:t>
      </w:r>
      <w:r w:rsidR="004D4D60">
        <w:rPr>
          <w:rFonts w:ascii="Calibri" w:eastAsia="Calibri" w:hAnsi="Calibri" w:cs="Calibri"/>
          <w:sz w:val="20"/>
          <w:szCs w:val="20"/>
        </w:rPr>
        <w:t>t</w:t>
      </w:r>
      <w:r>
        <w:rPr>
          <w:rFonts w:ascii="Calibri" w:eastAsia="Calibri" w:hAnsi="Calibri" w:cs="Calibri"/>
          <w:sz w:val="20"/>
          <w:szCs w:val="20"/>
        </w:rPr>
        <w:t xml:space="preserve"> S5).</w:t>
      </w:r>
    </w:p>
    <w:p w14:paraId="22B4785E" w14:textId="77777777" w:rsidR="000D29AB" w:rsidRDefault="000D29AB">
      <w:pPr>
        <w:spacing w:line="240" w:lineRule="auto"/>
        <w:rPr>
          <w:sz w:val="20"/>
          <w:szCs w:val="20"/>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826363" w14:textId="77777777" w:rsidR="000D29AB" w:rsidRDefault="00000000">
    <w:pPr>
      <w:jc w:val="right"/>
    </w:pPr>
    <w:r>
      <w:fldChar w:fldCharType="begin"/>
    </w:r>
    <w:r>
      <w:instrText>PAGE</w:instrText>
    </w:r>
    <w:r>
      <w:fldChar w:fldCharType="separate"/>
    </w:r>
    <w:r w:rsidR="00CD09F0">
      <w:rPr>
        <w:noProof/>
      </w:rPr>
      <w:t>1</w:t>
    </w:r>
    <w: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D29AB"/>
    <w:rsid w:val="000D29AB"/>
    <w:rsid w:val="004D4D60"/>
    <w:rsid w:val="005E76CE"/>
    <w:rsid w:val="0089320F"/>
    <w:rsid w:val="00A50027"/>
    <w:rsid w:val="00CD09F0"/>
    <w:rsid w:val="00D37CA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56FC43"/>
  <w15:docId w15:val="{5024D02E-45BD-4901-996A-B2C5B42879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0"/>
    <w:tblPr>
      <w:tblStyleRowBandSize w:val="1"/>
      <w:tblStyleColBandSize w:val="1"/>
    </w:tblPr>
  </w:style>
  <w:style w:type="table" w:customStyle="1" w:styleId="a0">
    <w:basedOn w:val="TableNormal0"/>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5</Pages>
  <Words>1538</Words>
  <Characters>8773</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Charlotte Till</cp:lastModifiedBy>
  <cp:revision>4</cp:revision>
  <dcterms:created xsi:type="dcterms:W3CDTF">2026-11-01T21:42:00Z</dcterms:created>
  <dcterms:modified xsi:type="dcterms:W3CDTF">2026-11-01T21:56:00Z</dcterms:modified>
</cp:coreProperties>
</file>